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 w:after="31"/>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重钢总医院</w:t>
      </w:r>
    </w:p>
    <w:p>
      <w:pPr>
        <w:pStyle w:val="13"/>
        <w:spacing w:before="31" w:after="31"/>
        <w:jc w:val="center"/>
        <w:rPr>
          <w:rFonts w:hint="eastAsia" w:ascii="楷体" w:hAnsi="楷体" w:eastAsia="楷体" w:cs="楷体"/>
          <w:b/>
          <w:bCs/>
          <w:sz w:val="32"/>
          <w:szCs w:val="32"/>
        </w:rPr>
      </w:pPr>
      <w:r>
        <w:rPr>
          <w:rFonts w:hint="eastAsia" w:ascii="楷体" w:hAnsi="楷体" w:eastAsia="楷体" w:cs="楷体"/>
          <w:b/>
          <w:bCs/>
          <w:sz w:val="32"/>
          <w:szCs w:val="32"/>
          <w:lang w:eastAsia="zh-CN"/>
        </w:rPr>
        <w:t>安全运维服务项目市场</w:t>
      </w:r>
      <w:r>
        <w:rPr>
          <w:rFonts w:hint="eastAsia" w:ascii="楷体" w:hAnsi="楷体" w:eastAsia="楷体" w:cs="楷体"/>
          <w:b/>
          <w:bCs/>
          <w:sz w:val="32"/>
          <w:szCs w:val="32"/>
        </w:rPr>
        <w:t>征询函</w:t>
      </w:r>
    </w:p>
    <w:p>
      <w:pPr>
        <w:pStyle w:val="13"/>
        <w:spacing w:beforeLines="0" w:afterLines="0" w:line="360" w:lineRule="auto"/>
        <w:ind w:firstLine="560" w:firstLineChars="200"/>
        <w:rPr>
          <w:rFonts w:hint="eastAsia" w:ascii="楷体" w:hAnsi="楷体" w:eastAsia="楷体" w:cs="楷体"/>
          <w:b/>
          <w:bCs/>
          <w:sz w:val="32"/>
          <w:szCs w:val="32"/>
        </w:rPr>
      </w:pPr>
      <w:r>
        <w:rPr>
          <w:rFonts w:hint="eastAsia" w:ascii="楷体" w:hAnsi="楷体" w:eastAsia="楷体" w:cs="楷体"/>
          <w:color w:val="000000"/>
          <w:sz w:val="28"/>
          <w:szCs w:val="28"/>
        </w:rPr>
        <w:t>重钢总医院本着“公平、公开、公正”的原则，特向服务商单位发出重钢总医院安全运维服务项目的征询函，望积极参与响应。</w:t>
      </w:r>
    </w:p>
    <w:p>
      <w:pPr>
        <w:pStyle w:val="12"/>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项目信息</w:t>
      </w:r>
    </w:p>
    <w:p>
      <w:pPr>
        <w:pStyle w:val="12"/>
        <w:numPr>
          <w:ilvl w:val="0"/>
          <w:numId w:val="2"/>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项目名称：安全运维服务项目</w:t>
      </w:r>
    </w:p>
    <w:p>
      <w:pPr>
        <w:pStyle w:val="12"/>
        <w:numPr>
          <w:ilvl w:val="0"/>
          <w:numId w:val="2"/>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项目类型：服务采购</w:t>
      </w:r>
    </w:p>
    <w:p>
      <w:pPr>
        <w:pStyle w:val="12"/>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项目目标</w:t>
      </w:r>
    </w:p>
    <w:p>
      <w:pPr>
        <w:pStyle w:val="13"/>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重钢总医院安全运维服务项目建设目标是以等级保护标准为基础，参考ISO27001标准以及相关安全规范和标准，建立符合</w:t>
      </w:r>
      <w:r>
        <w:rPr>
          <w:rFonts w:hint="eastAsia" w:ascii="楷体" w:hAnsi="楷体" w:eastAsia="楷体" w:cs="楷体"/>
          <w:color w:val="000000"/>
          <w:sz w:val="28"/>
          <w:szCs w:val="28"/>
          <w:lang w:eastAsia="zh-CN"/>
        </w:rPr>
        <w:t>医院</w:t>
      </w:r>
      <w:r>
        <w:rPr>
          <w:rFonts w:hint="eastAsia" w:ascii="楷体" w:hAnsi="楷体" w:eastAsia="楷体" w:cs="楷体"/>
          <w:color w:val="000000"/>
          <w:sz w:val="28"/>
          <w:szCs w:val="28"/>
        </w:rPr>
        <w:t>信息化系统实际安全需求的安全管理体系，提高安全管控水平。</w:t>
      </w:r>
    </w:p>
    <w:p>
      <w:pPr>
        <w:pStyle w:val="13"/>
        <w:numPr>
          <w:ilvl w:val="0"/>
          <w:numId w:val="3"/>
        </w:numPr>
        <w:spacing w:beforeLines="0" w:afterLines="0" w:line="360" w:lineRule="auto"/>
        <w:ind w:left="845" w:leftChars="0" w:hanging="425"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形成体系化的安全管理与技术机制</w:t>
      </w:r>
    </w:p>
    <w:p>
      <w:pPr>
        <w:pStyle w:val="13"/>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制定整体安全</w:t>
      </w:r>
      <w:r>
        <w:rPr>
          <w:rFonts w:hint="eastAsia" w:ascii="楷体" w:hAnsi="楷体" w:eastAsia="楷体" w:cs="楷体"/>
          <w:color w:val="000000"/>
          <w:sz w:val="28"/>
          <w:szCs w:val="28"/>
          <w:lang w:eastAsia="zh-CN"/>
        </w:rPr>
        <w:t>规划</w:t>
      </w:r>
      <w:r>
        <w:rPr>
          <w:rFonts w:hint="eastAsia" w:ascii="楷体" w:hAnsi="楷体" w:eastAsia="楷体" w:cs="楷体"/>
          <w:color w:val="000000"/>
          <w:sz w:val="28"/>
          <w:szCs w:val="28"/>
        </w:rPr>
        <w:t>和建设路线图，有计划</w:t>
      </w:r>
      <w:r>
        <w:rPr>
          <w:rFonts w:hint="eastAsia" w:ascii="楷体" w:hAnsi="楷体" w:eastAsia="楷体" w:cs="楷体"/>
          <w:color w:val="000000"/>
          <w:sz w:val="28"/>
          <w:szCs w:val="28"/>
          <w:lang w:eastAsia="zh-CN"/>
        </w:rPr>
        <w:t>的</w:t>
      </w:r>
      <w:r>
        <w:rPr>
          <w:rFonts w:hint="eastAsia" w:ascii="楷体" w:hAnsi="楷体" w:eastAsia="楷体" w:cs="楷体"/>
          <w:color w:val="000000"/>
          <w:sz w:val="28"/>
          <w:szCs w:val="28"/>
        </w:rPr>
        <w:t>建成一个可扩展的、相互协同和制约的完整</w:t>
      </w:r>
      <w:r>
        <w:rPr>
          <w:rFonts w:hint="eastAsia" w:ascii="楷体" w:hAnsi="楷体" w:eastAsia="楷体" w:cs="楷体"/>
          <w:color w:val="000000"/>
          <w:sz w:val="28"/>
          <w:szCs w:val="28"/>
          <w:lang w:eastAsia="zh-CN"/>
        </w:rPr>
        <w:t>信息安全体系</w:t>
      </w:r>
      <w:r>
        <w:rPr>
          <w:rFonts w:hint="eastAsia" w:ascii="楷体" w:hAnsi="楷体" w:eastAsia="楷体" w:cs="楷体"/>
          <w:color w:val="000000"/>
          <w:sz w:val="28"/>
          <w:szCs w:val="28"/>
        </w:rPr>
        <w:t>，减少单效独建的补救方法，逐步形成完整安全体系。</w:t>
      </w:r>
    </w:p>
    <w:p>
      <w:pPr>
        <w:pStyle w:val="13"/>
        <w:numPr>
          <w:ilvl w:val="0"/>
          <w:numId w:val="3"/>
        </w:numPr>
        <w:spacing w:beforeLines="0" w:afterLines="0" w:line="360" w:lineRule="auto"/>
        <w:ind w:left="845" w:leftChars="0" w:hanging="425"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满足当前及未来信息安全合规性要求</w:t>
      </w:r>
    </w:p>
    <w:p>
      <w:pPr>
        <w:pStyle w:val="13"/>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以《网络安全法》为纲，以等级保护标准为基础，建设全面的信息安全合规能力，充分满足信息安全联合检查等合规性检查的要求。</w:t>
      </w:r>
    </w:p>
    <w:p>
      <w:pPr>
        <w:pStyle w:val="13"/>
        <w:numPr>
          <w:ilvl w:val="0"/>
          <w:numId w:val="3"/>
        </w:numPr>
        <w:spacing w:beforeLines="0" w:afterLines="0" w:line="360" w:lineRule="auto"/>
        <w:ind w:left="845" w:leftChars="0" w:hanging="425"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技管结合，安全管理在日常工作中落地</w:t>
      </w:r>
    </w:p>
    <w:p>
      <w:pPr>
        <w:pStyle w:val="13"/>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构建完善的安全管理体系和安全基线，管理为主、技术为辅，使安全管理工作的落实成为日常工作的一部分。</w:t>
      </w:r>
    </w:p>
    <w:p>
      <w:pPr>
        <w:pStyle w:val="13"/>
        <w:spacing w:beforeLines="0" w:afterLines="0" w:line="360" w:lineRule="auto"/>
        <w:ind w:firstLine="560" w:firstLineChars="200"/>
        <w:rPr>
          <w:rFonts w:hint="eastAsia" w:ascii="楷体" w:hAnsi="楷体" w:eastAsia="楷体" w:cs="楷体"/>
          <w:color w:val="000000"/>
          <w:sz w:val="28"/>
          <w:szCs w:val="28"/>
        </w:rPr>
      </w:pPr>
    </w:p>
    <w:p>
      <w:pPr>
        <w:pStyle w:val="12"/>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信息化资产</w:t>
      </w:r>
    </w:p>
    <w:tbl>
      <w:tblPr>
        <w:tblW w:w="850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14"/>
        <w:gridCol w:w="4955"/>
        <w:gridCol w:w="26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9" w:hRule="atLeast"/>
        </w:trPr>
        <w:tc>
          <w:tcPr>
            <w:tcW w:w="914" w:type="dxa"/>
            <w:tcBorders>
              <w:top w:val="single" w:color="000000" w:sz="6" w:space="0"/>
              <w:left w:val="single" w:color="000000" w:sz="6" w:space="0"/>
              <w:bottom w:val="single" w:color="000000" w:sz="6" w:space="0"/>
              <w:right w:val="single" w:color="000000" w:sz="6" w:space="0"/>
            </w:tcBorders>
            <w:shd w:val="clear" w:color="auto" w:fill="BBBBBB"/>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序号</w:t>
            </w:r>
          </w:p>
        </w:tc>
        <w:tc>
          <w:tcPr>
            <w:tcW w:w="4955" w:type="dxa"/>
            <w:tcBorders>
              <w:top w:val="single" w:color="000000" w:sz="6" w:space="0"/>
              <w:left w:val="single" w:color="000000" w:sz="6" w:space="0"/>
              <w:bottom w:val="single" w:color="000000" w:sz="6" w:space="0"/>
              <w:right w:val="single" w:color="000000" w:sz="6" w:space="0"/>
            </w:tcBorders>
            <w:shd w:val="clear" w:color="auto" w:fill="BBBBBB"/>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设备名称/型号</w:t>
            </w:r>
          </w:p>
        </w:tc>
        <w:tc>
          <w:tcPr>
            <w:tcW w:w="2636" w:type="dxa"/>
            <w:tcBorders>
              <w:top w:val="single" w:color="000000" w:sz="6" w:space="0"/>
              <w:left w:val="single" w:color="000000" w:sz="6" w:space="0"/>
              <w:bottom w:val="single" w:color="000000" w:sz="6" w:space="0"/>
              <w:right w:val="single" w:color="000000" w:sz="6" w:space="0"/>
            </w:tcBorders>
            <w:shd w:val="clear" w:color="auto" w:fill="BBBBBB"/>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1</w:t>
            </w:r>
          </w:p>
        </w:tc>
        <w:tc>
          <w:tcPr>
            <w:tcW w:w="49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信息系统</w:t>
            </w:r>
          </w:p>
        </w:tc>
        <w:tc>
          <w:tcPr>
            <w:tcW w:w="26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2</w:t>
            </w:r>
          </w:p>
        </w:tc>
        <w:tc>
          <w:tcPr>
            <w:tcW w:w="49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服务器</w:t>
            </w:r>
          </w:p>
        </w:tc>
        <w:tc>
          <w:tcPr>
            <w:tcW w:w="26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3</w:t>
            </w:r>
          </w:p>
        </w:tc>
        <w:tc>
          <w:tcPr>
            <w:tcW w:w="49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虚拟化平台</w:t>
            </w:r>
          </w:p>
        </w:tc>
        <w:tc>
          <w:tcPr>
            <w:tcW w:w="26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4</w:t>
            </w:r>
          </w:p>
        </w:tc>
        <w:tc>
          <w:tcPr>
            <w:tcW w:w="49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网络安全设备</w:t>
            </w:r>
          </w:p>
        </w:tc>
        <w:tc>
          <w:tcPr>
            <w:tcW w:w="26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≤17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5</w:t>
            </w:r>
          </w:p>
        </w:tc>
        <w:tc>
          <w:tcPr>
            <w:tcW w:w="49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终端</w:t>
            </w:r>
          </w:p>
        </w:tc>
        <w:tc>
          <w:tcPr>
            <w:tcW w:w="26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 w:lineRule="atLeast"/>
              <w:ind w:left="0" w:right="0"/>
              <w:jc w:val="center"/>
              <w:textAlignment w:val="auto"/>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≤900</w:t>
            </w:r>
          </w:p>
        </w:tc>
      </w:tr>
    </w:tbl>
    <w:p>
      <w:pPr>
        <w:pStyle w:val="12"/>
        <w:numPr>
          <w:numId w:val="0"/>
        </w:numPr>
        <w:ind w:left="709" w:leftChars="0"/>
        <w:outlineLvl w:val="0"/>
        <w:rPr>
          <w:rFonts w:hint="eastAsia" w:ascii="楷体" w:hAnsi="楷体" w:eastAsia="楷体" w:cs="楷体"/>
          <w:sz w:val="28"/>
          <w:szCs w:val="28"/>
        </w:rPr>
      </w:pPr>
    </w:p>
    <w:p>
      <w:pPr>
        <w:pStyle w:val="12"/>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征询</w:t>
      </w:r>
      <w:r>
        <w:rPr>
          <w:rFonts w:hint="eastAsia" w:ascii="楷体" w:hAnsi="楷体" w:eastAsia="楷体" w:cs="楷体"/>
          <w:sz w:val="28"/>
          <w:szCs w:val="28"/>
        </w:rPr>
        <w:t>内容</w:t>
      </w:r>
    </w:p>
    <w:p>
      <w:pPr>
        <w:pStyle w:val="12"/>
        <w:keepNext w:val="0"/>
        <w:keepLines w:val="0"/>
        <w:pageBreakBefore w:val="0"/>
        <w:widowControl w:val="0"/>
        <w:numPr>
          <w:numId w:val="0"/>
        </w:numPr>
        <w:kinsoku/>
        <w:wordWrap/>
        <w:overflowPunct/>
        <w:topLinePunct w:val="0"/>
        <w:autoSpaceDE/>
        <w:autoSpaceDN/>
        <w:bidi w:val="0"/>
        <w:adjustRightInd/>
        <w:snapToGrid/>
        <w:ind w:left="0" w:leftChars="0" w:firstLine="560" w:firstLineChars="200"/>
        <w:textAlignment w:val="auto"/>
        <w:outlineLvl w:val="0"/>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kern w:val="2"/>
          <w:sz w:val="28"/>
          <w:szCs w:val="28"/>
          <w:lang w:val="en-US" w:eastAsia="zh-CN" w:bidi="ar-SA"/>
        </w:rPr>
        <w:t>根据《信息系统安全等级保护基本要求》（GB/T22239-2008）、重庆市卫生健康信息化主管部门关于信息安全工作的要求，安全服务商为我院至少提供以下两个服务包工作，并按服务包报价。如安全服务商根据我院现状可提供更多服务，建议增加服务内容，可在服务包三中描述并单项报价：</w:t>
      </w:r>
    </w:p>
    <w:p>
      <w:pPr>
        <w:pStyle w:val="12"/>
        <w:keepNext w:val="0"/>
        <w:keepLines w:val="0"/>
        <w:pageBreakBefore w:val="0"/>
        <w:widowControl w:val="0"/>
        <w:numPr>
          <w:numId w:val="0"/>
        </w:numPr>
        <w:kinsoku/>
        <w:wordWrap/>
        <w:overflowPunct/>
        <w:topLinePunct w:val="0"/>
        <w:autoSpaceDE/>
        <w:autoSpaceDN/>
        <w:bidi w:val="0"/>
        <w:adjustRightInd/>
        <w:snapToGrid/>
        <w:ind w:left="0" w:leftChars="0" w:firstLine="560" w:firstLineChars="200"/>
        <w:textAlignment w:val="auto"/>
        <w:outlineLvl w:val="0"/>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kern w:val="2"/>
          <w:sz w:val="28"/>
          <w:szCs w:val="28"/>
          <w:lang w:val="en-US" w:eastAsia="zh-CN" w:bidi="ar-SA"/>
        </w:rPr>
        <w:t>服务包一：</w:t>
      </w:r>
    </w:p>
    <w:tbl>
      <w:tblPr>
        <w:tblStyle w:val="6"/>
        <w:tblW w:w="111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572"/>
        <w:gridCol w:w="1216"/>
        <w:gridCol w:w="5967"/>
        <w:gridCol w:w="1134"/>
        <w:gridCol w:w="1134"/>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0" w:hRule="atLeast"/>
          <w:jc w:val="center"/>
        </w:trPr>
        <w:tc>
          <w:tcPr>
            <w:tcW w:w="572"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序号</w:t>
            </w:r>
          </w:p>
        </w:tc>
        <w:tc>
          <w:tcPr>
            <w:tcW w:w="1216"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服务项</w:t>
            </w:r>
          </w:p>
        </w:tc>
        <w:tc>
          <w:tcPr>
            <w:tcW w:w="5967"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描述</w:t>
            </w:r>
          </w:p>
        </w:tc>
        <w:tc>
          <w:tcPr>
            <w:tcW w:w="1134"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数量</w:t>
            </w:r>
          </w:p>
        </w:tc>
        <w:tc>
          <w:tcPr>
            <w:tcW w:w="1134"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一年期</w:t>
            </w:r>
          </w:p>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总价</w:t>
            </w:r>
          </w:p>
        </w:tc>
        <w:tc>
          <w:tcPr>
            <w:tcW w:w="1134"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三年期</w:t>
            </w:r>
          </w:p>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总价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72" w:type="dxa"/>
            <w:vAlign w:val="center"/>
          </w:tcPr>
          <w:p>
            <w:pPr>
              <w:widowControl/>
              <w:snapToGrid w:val="0"/>
              <w:spacing w:line="320" w:lineRule="exact"/>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1</w:t>
            </w:r>
          </w:p>
        </w:tc>
        <w:tc>
          <w:tcPr>
            <w:tcW w:w="1216" w:type="dxa"/>
            <w:vAlign w:val="center"/>
          </w:tcPr>
          <w:p>
            <w:pPr>
              <w:widowControl/>
              <w:snapToGrid w:val="0"/>
              <w:spacing w:line="320" w:lineRule="exact"/>
              <w:jc w:val="center"/>
              <w:textAlignment w:val="center"/>
              <w:rPr>
                <w:rFonts w:hint="eastAsia" w:ascii="楷体" w:hAnsi="楷体" w:eastAsia="楷体" w:cs="楷体"/>
                <w:szCs w:val="21"/>
              </w:rPr>
            </w:pPr>
            <w:r>
              <w:rPr>
                <w:rFonts w:hint="eastAsia" w:ascii="楷体" w:hAnsi="楷体" w:eastAsia="楷体" w:cs="楷体"/>
                <w:szCs w:val="21"/>
              </w:rPr>
              <w:t>安全评估</w:t>
            </w:r>
          </w:p>
          <w:p>
            <w:pPr>
              <w:widowControl/>
              <w:snapToGrid w:val="0"/>
              <w:spacing w:line="320" w:lineRule="exact"/>
              <w:jc w:val="center"/>
              <w:textAlignment w:val="center"/>
              <w:rPr>
                <w:rFonts w:hint="eastAsia" w:ascii="楷体" w:hAnsi="楷体" w:eastAsia="楷体" w:cs="楷体"/>
                <w:szCs w:val="21"/>
              </w:rPr>
            </w:pPr>
            <w:r>
              <w:rPr>
                <w:rFonts w:hint="eastAsia" w:ascii="楷体" w:hAnsi="楷体" w:eastAsia="楷体" w:cs="楷体"/>
                <w:szCs w:val="21"/>
              </w:rPr>
              <w:t>服务</w:t>
            </w:r>
          </w:p>
        </w:tc>
        <w:tc>
          <w:tcPr>
            <w:tcW w:w="5967" w:type="dxa"/>
            <w:vAlign w:val="center"/>
          </w:tcPr>
          <w:p>
            <w:pPr>
              <w:keepNext w:val="0"/>
              <w:keepLines w:val="0"/>
              <w:pageBreakBefore w:val="0"/>
              <w:widowControl/>
              <w:numPr>
                <w:numId w:val="0"/>
              </w:numPr>
              <w:kinsoku/>
              <w:wordWrap/>
              <w:overflowPunct/>
              <w:topLinePunct w:val="0"/>
              <w:autoSpaceDE/>
              <w:autoSpaceDN/>
              <w:bidi w:val="0"/>
              <w:adjustRightInd/>
              <w:snapToGrid w:val="0"/>
              <w:spacing w:line="320" w:lineRule="exact"/>
              <w:ind w:leftChars="0" w:right="0" w:rightChars="0" w:firstLine="420" w:firstLineChars="200"/>
              <w:jc w:val="left"/>
              <w:textAlignment w:val="center"/>
              <w:rPr>
                <w:rFonts w:hint="eastAsia" w:ascii="楷体" w:hAnsi="楷体" w:eastAsia="楷体" w:cs="楷体"/>
                <w:szCs w:val="21"/>
              </w:rPr>
            </w:pPr>
            <w:r>
              <w:rPr>
                <w:rFonts w:hint="eastAsia" w:ascii="楷体" w:hAnsi="楷体" w:eastAsia="楷体" w:cs="楷体"/>
                <w:szCs w:val="21"/>
              </w:rPr>
              <w:t>根据《ISO/IEC 27005信息技术–安全技术–信息安全风险管理》、《GB/T 20984-2007信息安全技术信息安全风险评估规范》等相关规范要求，由信息安全人员开展全面的风险评估，综合发现的安全问题分析网络存在的安全隐患，及危害程度，提出整改建议并及时整改。主要内容如下：</w:t>
            </w:r>
          </w:p>
          <w:p>
            <w:pPr>
              <w:widowControl/>
              <w:numPr>
                <w:ilvl w:val="0"/>
                <w:numId w:val="4"/>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信息收集：根据指定主机系统收集系统的信息和业务并且进行整理和登记并提交相应内容。</w:t>
            </w:r>
          </w:p>
          <w:p>
            <w:pPr>
              <w:widowControl/>
              <w:numPr>
                <w:ilvl w:val="0"/>
                <w:numId w:val="4"/>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安全扫描：通过评估工具以远程扫描的方式对系统和网络进行安全扫描，查找网络结构、网络设备、服务器主机、中间件、数据库系统、数据和用户账号/口令等安全对象目标存在的安全风险、漏洞和威胁。出具扫描报告和作出相应整改。</w:t>
            </w:r>
          </w:p>
          <w:p>
            <w:pPr>
              <w:widowControl/>
              <w:numPr>
                <w:ilvl w:val="0"/>
                <w:numId w:val="4"/>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安全加固：针对定期安全扫描中发现的各种安全隐患，通过打补丁、修补漏洞、安全配置增强、系统架构和安全策略调整等方式及时进行加固和安全优化。安全加固须根据扫描结果来进行加固，加固前应制定详细的安全加固方案，并且经过严格的评估后方可进行。</w:t>
            </w:r>
          </w:p>
          <w:p>
            <w:pPr>
              <w:widowControl/>
              <w:numPr>
                <w:ilvl w:val="0"/>
                <w:numId w:val="4"/>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配置核查：对全网核心网络单元、业务系统和安全设备进行安全基线检查，查找主机设备、网络设备、重要应用、数据库存在的安全配置隐患，汇总基线报告，提出整改加固方案，并协助加固设备。</w:t>
            </w:r>
          </w:p>
          <w:p>
            <w:pPr>
              <w:widowControl/>
              <w:numPr>
                <w:ilvl w:val="0"/>
                <w:numId w:val="4"/>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漏洞审计：根据安全扫描情况，进行加固和修复后，重新进行一次漏洞修复情况的验证，并得出检测结果。</w:t>
            </w:r>
          </w:p>
          <w:p>
            <w:pPr>
              <w:widowControl/>
              <w:numPr>
                <w:ilvl w:val="0"/>
                <w:numId w:val="4"/>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对机房环境如（温度、湿度、用电、防水、防火、防盗等）安全评估检查并提出整改建议。</w:t>
            </w:r>
          </w:p>
        </w:tc>
        <w:tc>
          <w:tcPr>
            <w:tcW w:w="1134"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2次/年</w:t>
            </w:r>
          </w:p>
        </w:tc>
        <w:tc>
          <w:tcPr>
            <w:tcW w:w="1134" w:type="dxa"/>
            <w:vMerge w:val="restart"/>
            <w:vAlign w:val="center"/>
          </w:tcPr>
          <w:p>
            <w:pPr>
              <w:widowControl/>
              <w:snapToGrid w:val="0"/>
              <w:spacing w:line="320" w:lineRule="exact"/>
              <w:ind w:right="105" w:rightChars="50"/>
              <w:jc w:val="center"/>
              <w:textAlignment w:val="center"/>
              <w:rPr>
                <w:rFonts w:hint="eastAsia" w:ascii="楷体" w:hAnsi="楷体" w:eastAsia="楷体" w:cs="楷体"/>
                <w:szCs w:val="21"/>
              </w:rPr>
            </w:pPr>
          </w:p>
        </w:tc>
        <w:tc>
          <w:tcPr>
            <w:tcW w:w="1134" w:type="dxa"/>
            <w:vMerge w:val="restart"/>
            <w:vAlign w:val="center"/>
          </w:tcPr>
          <w:p>
            <w:pPr>
              <w:widowControl/>
              <w:snapToGrid w:val="0"/>
              <w:spacing w:line="320" w:lineRule="exact"/>
              <w:ind w:right="105" w:rightChars="50"/>
              <w:jc w:val="center"/>
              <w:textAlignment w:val="center"/>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7" w:hRule="atLeast"/>
          <w:jc w:val="center"/>
        </w:trPr>
        <w:tc>
          <w:tcPr>
            <w:tcW w:w="572" w:type="dxa"/>
            <w:vAlign w:val="center"/>
          </w:tcPr>
          <w:p>
            <w:pPr>
              <w:widowControl/>
              <w:snapToGrid w:val="0"/>
              <w:spacing w:line="320" w:lineRule="exact"/>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2</w:t>
            </w:r>
          </w:p>
        </w:tc>
        <w:tc>
          <w:tcPr>
            <w:tcW w:w="1216" w:type="dxa"/>
            <w:vAlign w:val="center"/>
          </w:tcPr>
          <w:p>
            <w:pPr>
              <w:widowControl/>
              <w:snapToGrid w:val="0"/>
              <w:spacing w:line="320" w:lineRule="exact"/>
              <w:jc w:val="center"/>
              <w:textAlignment w:val="center"/>
              <w:rPr>
                <w:rFonts w:hint="eastAsia" w:ascii="楷体" w:hAnsi="楷体" w:eastAsia="楷体" w:cs="楷体"/>
                <w:szCs w:val="21"/>
              </w:rPr>
            </w:pPr>
            <w:r>
              <w:rPr>
                <w:rFonts w:hint="eastAsia" w:ascii="楷体" w:hAnsi="楷体" w:eastAsia="楷体" w:cs="楷体"/>
                <w:szCs w:val="21"/>
              </w:rPr>
              <w:t>渗透测试服务</w:t>
            </w:r>
          </w:p>
        </w:tc>
        <w:tc>
          <w:tcPr>
            <w:tcW w:w="5967" w:type="dxa"/>
            <w:vAlign w:val="center"/>
          </w:tcPr>
          <w:p>
            <w:pPr>
              <w:spacing w:line="320" w:lineRule="exact"/>
              <w:ind w:firstLine="315" w:firstLineChars="150"/>
              <w:jc w:val="left"/>
              <w:rPr>
                <w:rFonts w:hint="eastAsia" w:ascii="楷体" w:hAnsi="楷体" w:eastAsia="楷体" w:cs="楷体"/>
                <w:szCs w:val="21"/>
              </w:rPr>
            </w:pPr>
            <w:r>
              <w:rPr>
                <w:rFonts w:hint="eastAsia" w:ascii="楷体" w:hAnsi="楷体" w:eastAsia="楷体" w:cs="楷体"/>
                <w:szCs w:val="21"/>
              </w:rPr>
              <w:t>对关键系统进行模拟攻击，对系统和网络进行非破坏性质的攻击性测试。渗透测试内容包括针对系统进行信息泄露测试、溢出攻击测试、跨站脚本攻击测试、SQL注入测试、Cookie欺骗测试、特定错误页面检测，并识别脆弱性识别的重要手段，能够帮助客户发现设备和系统中存在的严重漏洞，帮助客户了解技术措施是否有效执行，并通过及时修补完善，避免对信息系统造成严重影响。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并进行解决。</w:t>
            </w:r>
          </w:p>
        </w:tc>
        <w:tc>
          <w:tcPr>
            <w:tcW w:w="1134"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2次/年</w:t>
            </w:r>
          </w:p>
        </w:tc>
        <w:tc>
          <w:tcPr>
            <w:tcW w:w="1134" w:type="dxa"/>
            <w:vMerge w:val="continue"/>
            <w:tcBorders/>
            <w:vAlign w:val="center"/>
          </w:tcPr>
          <w:p>
            <w:pPr>
              <w:widowControl/>
              <w:snapToGrid w:val="0"/>
              <w:spacing w:line="320" w:lineRule="exact"/>
              <w:ind w:right="105" w:rightChars="50"/>
              <w:jc w:val="center"/>
              <w:textAlignment w:val="center"/>
              <w:rPr>
                <w:rFonts w:hint="eastAsia" w:ascii="楷体" w:hAnsi="楷体" w:eastAsia="楷体" w:cs="楷体"/>
                <w:szCs w:val="21"/>
              </w:rPr>
            </w:pPr>
          </w:p>
        </w:tc>
        <w:tc>
          <w:tcPr>
            <w:tcW w:w="1134" w:type="dxa"/>
            <w:vMerge w:val="continue"/>
            <w:tcBorders/>
            <w:vAlign w:val="center"/>
          </w:tcPr>
          <w:p>
            <w:pPr>
              <w:widowControl/>
              <w:snapToGrid w:val="0"/>
              <w:spacing w:line="320" w:lineRule="exact"/>
              <w:ind w:right="105" w:rightChars="50"/>
              <w:jc w:val="center"/>
              <w:textAlignment w:val="center"/>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72" w:type="dxa"/>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3</w:t>
            </w:r>
          </w:p>
        </w:tc>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安全管理制度</w:t>
            </w:r>
          </w:p>
        </w:tc>
        <w:tc>
          <w:tcPr>
            <w:tcW w:w="5967" w:type="dxa"/>
            <w:vAlign w:val="center"/>
          </w:tcPr>
          <w:p>
            <w:pPr>
              <w:widowControl/>
              <w:snapToGrid w:val="0"/>
              <w:spacing w:line="320" w:lineRule="exact"/>
              <w:ind w:right="105" w:rightChars="50" w:firstLine="315" w:firstLineChars="150"/>
              <w:jc w:val="left"/>
              <w:textAlignment w:val="center"/>
              <w:rPr>
                <w:rFonts w:hint="eastAsia" w:ascii="楷体" w:hAnsi="楷体" w:eastAsia="楷体" w:cs="楷体"/>
                <w:szCs w:val="21"/>
              </w:rPr>
            </w:pPr>
            <w:r>
              <w:rPr>
                <w:rFonts w:hint="eastAsia" w:ascii="楷体" w:hAnsi="楷体" w:eastAsia="楷体" w:cs="楷体"/>
                <w:szCs w:val="21"/>
              </w:rPr>
              <w:t>根据《中华人民共和国网络安全法》相关要求，拟定相适应的安全管理制度，并对管理人员或操作人员执行的日常管理操作建立操作规程。对安全管理制度体系的合理性和适用性进行审定、颁布、执行和检查等。需满足等级保护相应要求，达到相应标准。拟定制度加以培训和严格执行</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1次/年</w:t>
            </w: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72" w:type="dxa"/>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4</w:t>
            </w:r>
          </w:p>
        </w:tc>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安全培训服务</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1、信息安全意识培训：对单位非技术类员工，供应商需提供信息安全意识培训，强化员工安全意识，理解安全问题的重要性，掌握工作中的基本安全知识和安全技能。</w:t>
            </w:r>
          </w:p>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2、信息安全技术培训：对单位信息安全技术类员工，供应商需提供信息安全技术培训，帮助员工掌握信息安全技术在网络、系统、应用的理论，了解常见的网络攻击技术原理，掌握常见的攻击防护方法。</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2次/年</w:t>
            </w: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72" w:type="dxa"/>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5</w:t>
            </w:r>
          </w:p>
        </w:tc>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应急响应与安全值守</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对突发的网络安全事件或公共事件做出第一时间响应并处理。处理包括：现场或通过电话或网络方式远程支持解决的一般故障，在故障等级情况确定后应尽快解决故障，对重大、紧急安全响应请求后的30分钟内，工程技术人员立即到达现场解决问题或启动应急预案。</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按需执行</w:t>
            </w: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72" w:type="dxa"/>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6</w:t>
            </w:r>
          </w:p>
        </w:tc>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应急演练</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模拟业务系统出现各种故障情况，制定应急演练方案，完成应急演练报告。</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2次/年</w:t>
            </w: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72" w:type="dxa"/>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7</w:t>
            </w:r>
          </w:p>
        </w:tc>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安全预警及通告服务</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提供全年驻场服务，对最新安全威胁信息及安全事件及时以电子邮件通告方式和电话通告方式进行预警通告通告。提供及时的、针对性的各类安全信息，帮助采购人及时了解最新安全动态，并协助进行补丁更新，做好安全调整，完善安全保护措施。</w:t>
            </w:r>
          </w:p>
          <w:p>
            <w:pPr>
              <w:widowControl/>
              <w:snapToGrid w:val="0"/>
              <w:spacing w:line="320" w:lineRule="exact"/>
              <w:ind w:right="105" w:rightChars="50"/>
              <w:jc w:val="left"/>
              <w:textAlignment w:val="center"/>
              <w:rPr>
                <w:rFonts w:hint="eastAsia" w:ascii="楷体" w:hAnsi="楷体" w:eastAsia="楷体" w:cs="楷体"/>
                <w:szCs w:val="21"/>
              </w:rPr>
            </w:pPr>
            <w:r>
              <w:rPr>
                <w:rFonts w:hint="eastAsia" w:ascii="楷体" w:hAnsi="楷体" w:eastAsia="楷体" w:cs="楷体"/>
                <w:szCs w:val="21"/>
              </w:rPr>
              <w:t>主要预警通告包括：系统漏洞安全通告（Windows、AIX、Linux、Solaris等），应用漏洞安全通告（Oracle、SQL Server、Sybase、Weblogic、Apache等) ，产品漏洞安全通告（Cisco、华为、防火墙、入侵检测等) ，行业安全事件通告（医疗卫生健康行业发生的热点安全事件通告与分析）。</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按需执行，不少于12次/年</w:t>
            </w: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c>
          <w:tcPr>
            <w:tcW w:w="1134" w:type="dxa"/>
            <w:vMerge w:val="continue"/>
            <w:tcBorders/>
            <w:vAlign w:val="center"/>
          </w:tcPr>
          <w:p>
            <w:pPr>
              <w:widowControl/>
              <w:snapToGrid w:val="0"/>
              <w:spacing w:line="320" w:lineRule="exact"/>
              <w:ind w:left="140" w:right="105" w:rightChars="50"/>
              <w:jc w:val="left"/>
              <w:textAlignment w:val="center"/>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72" w:type="dxa"/>
            <w:tcBorders>
              <w:top w:val="single" w:color="000000" w:sz="2" w:space="0"/>
              <w:left w:val="single" w:color="000000" w:sz="2" w:space="0"/>
              <w:bottom w:val="single" w:color="000000" w:sz="2" w:space="0"/>
              <w:right w:val="single" w:color="000000" w:sz="2" w:space="0"/>
            </w:tcBorders>
            <w:vAlign w:val="center"/>
          </w:tcPr>
          <w:p>
            <w:pPr>
              <w:spacing w:line="320" w:lineRule="exact"/>
              <w:jc w:val="center"/>
              <w:rPr>
                <w:rFonts w:hint="eastAsia" w:ascii="楷体" w:hAnsi="楷体" w:eastAsia="楷体" w:cs="楷体"/>
                <w:szCs w:val="21"/>
                <w:lang w:val="en-US" w:eastAsia="zh-CN"/>
              </w:rPr>
            </w:pPr>
            <w:r>
              <w:rPr>
                <w:rFonts w:hint="eastAsia" w:ascii="楷体" w:hAnsi="楷体" w:eastAsia="楷体" w:cs="楷体"/>
                <w:szCs w:val="21"/>
                <w:lang w:val="en-US" w:eastAsia="zh-CN"/>
              </w:rPr>
              <w:t>8</w:t>
            </w:r>
          </w:p>
        </w:tc>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hint="eastAsia" w:ascii="楷体" w:hAnsi="楷体" w:eastAsia="楷体" w:cs="楷体"/>
                <w:szCs w:val="21"/>
              </w:rPr>
            </w:pPr>
            <w:r>
              <w:rPr>
                <w:rFonts w:hint="eastAsia" w:ascii="楷体" w:hAnsi="楷体" w:eastAsia="楷体" w:cs="楷体"/>
                <w:szCs w:val="21"/>
              </w:rPr>
              <w:t>综合运维巡检服务</w:t>
            </w:r>
          </w:p>
        </w:tc>
        <w:tc>
          <w:tcPr>
            <w:tcW w:w="59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对网络设备、服务器、存储设备、安全设备、UPS、精密空调等进行全面巡检：包括但不限于：硬件状态检查：包括设备电源状态、网络接口状态、设备所在物理环境状态；性能负载检查：包括CPU、内存的占用率、日志存储空间的占用率等；为用户提供相关设备的升级服务咨询；提供整体安全巡检报告。对维护设备提供性能调优、系统漏洞发现和补救方案制定，并有确切的效果。</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hint="eastAsia" w:ascii="楷体" w:hAnsi="楷体" w:eastAsia="楷体" w:cs="楷体"/>
                <w:szCs w:val="21"/>
              </w:rPr>
            </w:pPr>
          </w:p>
          <w:p>
            <w:pPr>
              <w:autoSpaceDE w:val="0"/>
              <w:autoSpaceDN w:val="0"/>
              <w:adjustRightInd w:val="0"/>
              <w:spacing w:line="320" w:lineRule="exact"/>
              <w:rPr>
                <w:rFonts w:hint="eastAsia" w:ascii="楷体" w:hAnsi="楷体" w:eastAsia="楷体" w:cs="楷体"/>
                <w:szCs w:val="21"/>
              </w:rPr>
            </w:pPr>
            <w:r>
              <w:rPr>
                <w:rFonts w:hint="eastAsia" w:ascii="楷体" w:hAnsi="楷体" w:eastAsia="楷体" w:cs="楷体"/>
                <w:szCs w:val="21"/>
              </w:rPr>
              <w:t>12次/年</w:t>
            </w:r>
          </w:p>
        </w:tc>
        <w:tc>
          <w:tcPr>
            <w:tcW w:w="1134" w:type="dxa"/>
            <w:vMerge w:val="continue"/>
            <w:tcBorders/>
            <w:vAlign w:val="center"/>
          </w:tcPr>
          <w:p>
            <w:pPr>
              <w:autoSpaceDE w:val="0"/>
              <w:autoSpaceDN w:val="0"/>
              <w:adjustRightInd w:val="0"/>
              <w:spacing w:line="320" w:lineRule="exact"/>
              <w:rPr>
                <w:rFonts w:hint="eastAsia" w:ascii="楷体" w:hAnsi="楷体" w:eastAsia="楷体" w:cs="楷体"/>
                <w:szCs w:val="21"/>
              </w:rPr>
            </w:pPr>
          </w:p>
        </w:tc>
        <w:tc>
          <w:tcPr>
            <w:tcW w:w="1134" w:type="dxa"/>
            <w:vMerge w:val="continue"/>
            <w:tcBorders/>
            <w:vAlign w:val="center"/>
          </w:tcPr>
          <w:p>
            <w:pPr>
              <w:autoSpaceDE w:val="0"/>
              <w:autoSpaceDN w:val="0"/>
              <w:adjustRightInd w:val="0"/>
              <w:spacing w:line="320" w:lineRule="exact"/>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72" w:type="dxa"/>
            <w:tcBorders>
              <w:top w:val="single" w:color="000000" w:sz="2" w:space="0"/>
              <w:left w:val="single" w:color="000000" w:sz="2" w:space="0"/>
              <w:bottom w:val="single" w:color="000000" w:sz="2" w:space="0"/>
              <w:right w:val="single" w:color="000000" w:sz="2" w:space="0"/>
            </w:tcBorders>
            <w:vAlign w:val="center"/>
          </w:tcPr>
          <w:p>
            <w:pPr>
              <w:spacing w:line="32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9</w:t>
            </w:r>
          </w:p>
        </w:tc>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rPr>
                <w:rFonts w:hint="eastAsia" w:ascii="楷体" w:hAnsi="楷体" w:eastAsia="楷体" w:cs="楷体"/>
                <w:szCs w:val="21"/>
              </w:rPr>
            </w:pPr>
            <w:r>
              <w:rPr>
                <w:rFonts w:hint="eastAsia" w:ascii="楷体" w:hAnsi="楷体" w:eastAsia="楷体" w:cs="楷体"/>
                <w:szCs w:val="21"/>
              </w:rPr>
              <w:t>驻场服务</w:t>
            </w:r>
          </w:p>
        </w:tc>
        <w:tc>
          <w:tcPr>
            <w:tcW w:w="59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为确保相关设备完好，运转正常，指派专人驻场运维。包括但不限于对网络系统、服务器，网络设备，机房等相关所有维护设备提供定期巡检；确定是否正常运行状态，并形成检查报告，提出现有问题及解决方案；如对机房供配电、空调、温湿度控制等设施进行检查，机房人员的出入、服务器的开机或关机等工作进行记录；新应用的设备需求，及时提交设备配置现状，以便该应用能及时运维服务；掌握设备的运行情况，就保修期、存储空间等及时进行提醒，对网络运行日志、服务器运行日志的报警信息分析和处理工作，并对监测和报警记录进行分析、评审，发现可疑行为，采取必要的应对措施等。按公安部门或其他安全部门要求完成安全检查、自查等信息安全相关工作。</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hint="eastAsia" w:ascii="楷体" w:hAnsi="楷体" w:eastAsia="楷体" w:cs="楷体"/>
                <w:szCs w:val="21"/>
              </w:rPr>
            </w:pPr>
            <w:r>
              <w:rPr>
                <w:rFonts w:hint="eastAsia" w:ascii="楷体" w:hAnsi="楷体" w:eastAsia="楷体" w:cs="楷体"/>
                <w:szCs w:val="21"/>
              </w:rPr>
              <w:t>持续执行</w:t>
            </w:r>
          </w:p>
        </w:tc>
        <w:tc>
          <w:tcPr>
            <w:tcW w:w="1134" w:type="dxa"/>
            <w:vMerge w:val="continue"/>
            <w:tcBorders>
              <w:bottom w:val="single" w:color="000000" w:sz="2" w:space="0"/>
            </w:tcBorders>
            <w:vAlign w:val="center"/>
          </w:tcPr>
          <w:p>
            <w:pPr>
              <w:autoSpaceDE w:val="0"/>
              <w:autoSpaceDN w:val="0"/>
              <w:adjustRightInd w:val="0"/>
              <w:spacing w:line="320" w:lineRule="exact"/>
              <w:rPr>
                <w:rFonts w:hint="eastAsia" w:ascii="楷体" w:hAnsi="楷体" w:eastAsia="楷体" w:cs="楷体"/>
                <w:szCs w:val="21"/>
              </w:rPr>
            </w:pPr>
          </w:p>
        </w:tc>
        <w:tc>
          <w:tcPr>
            <w:tcW w:w="1134" w:type="dxa"/>
            <w:vMerge w:val="continue"/>
            <w:tcBorders>
              <w:bottom w:val="single" w:color="000000" w:sz="2" w:space="0"/>
            </w:tcBorders>
            <w:vAlign w:val="center"/>
          </w:tcPr>
          <w:p>
            <w:pPr>
              <w:autoSpaceDE w:val="0"/>
              <w:autoSpaceDN w:val="0"/>
              <w:adjustRightInd w:val="0"/>
              <w:spacing w:line="320" w:lineRule="exact"/>
              <w:rPr>
                <w:rFonts w:hint="eastAsia" w:ascii="楷体" w:hAnsi="楷体" w:eastAsia="楷体" w:cs="楷体"/>
                <w:szCs w:val="21"/>
              </w:rPr>
            </w:pPr>
          </w:p>
        </w:tc>
      </w:tr>
    </w:tbl>
    <w:p>
      <w:pPr>
        <w:spacing w:line="360"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服务包二：</w:t>
      </w:r>
    </w:p>
    <w:tbl>
      <w:tblPr>
        <w:tblStyle w:val="6"/>
        <w:tblW w:w="1114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558"/>
        <w:gridCol w:w="1216"/>
        <w:gridCol w:w="5967"/>
        <w:gridCol w:w="1134"/>
        <w:gridCol w:w="1134"/>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0" w:hRule="atLeast"/>
          <w:jc w:val="center"/>
        </w:trPr>
        <w:tc>
          <w:tcPr>
            <w:tcW w:w="558"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序号</w:t>
            </w:r>
          </w:p>
        </w:tc>
        <w:tc>
          <w:tcPr>
            <w:tcW w:w="1216"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服务项</w:t>
            </w:r>
          </w:p>
        </w:tc>
        <w:tc>
          <w:tcPr>
            <w:tcW w:w="5967"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描述</w:t>
            </w:r>
          </w:p>
        </w:tc>
        <w:tc>
          <w:tcPr>
            <w:tcW w:w="1134"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数量</w:t>
            </w:r>
          </w:p>
        </w:tc>
        <w:tc>
          <w:tcPr>
            <w:tcW w:w="1134"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一年期</w:t>
            </w:r>
          </w:p>
          <w:p>
            <w:pPr>
              <w:spacing w:line="320" w:lineRule="exact"/>
              <w:jc w:val="center"/>
              <w:rPr>
                <w:rFonts w:hint="eastAsia" w:ascii="楷体" w:hAnsi="楷体" w:eastAsia="楷体" w:cs="楷体"/>
                <w:szCs w:val="21"/>
              </w:rPr>
            </w:pPr>
            <w:r>
              <w:rPr>
                <w:rFonts w:hint="eastAsia" w:ascii="楷体" w:hAnsi="楷体" w:eastAsia="楷体" w:cs="楷体"/>
                <w:szCs w:val="21"/>
                <w:lang w:eastAsia="zh-CN"/>
              </w:rPr>
              <w:t>总价</w:t>
            </w:r>
          </w:p>
        </w:tc>
        <w:tc>
          <w:tcPr>
            <w:tcW w:w="1134"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三年期</w:t>
            </w:r>
          </w:p>
          <w:p>
            <w:pPr>
              <w:spacing w:line="320" w:lineRule="exact"/>
              <w:jc w:val="center"/>
              <w:rPr>
                <w:rFonts w:hint="eastAsia" w:ascii="楷体" w:hAnsi="楷体" w:eastAsia="楷体" w:cs="楷体"/>
                <w:szCs w:val="21"/>
              </w:rPr>
            </w:pPr>
            <w:r>
              <w:rPr>
                <w:rFonts w:hint="eastAsia" w:ascii="楷体" w:hAnsi="楷体" w:eastAsia="楷体" w:cs="楷体"/>
                <w:szCs w:val="21"/>
                <w:lang w:eastAsia="zh-CN"/>
              </w:rPr>
              <w:t>总价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58" w:type="dxa"/>
            <w:vAlign w:val="center"/>
          </w:tcPr>
          <w:p>
            <w:pPr>
              <w:widowControl/>
              <w:snapToGrid w:val="0"/>
              <w:spacing w:line="320" w:lineRule="exact"/>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1</w:t>
            </w:r>
          </w:p>
        </w:tc>
        <w:tc>
          <w:tcPr>
            <w:tcW w:w="1216" w:type="dxa"/>
            <w:vAlign w:val="center"/>
          </w:tcPr>
          <w:p>
            <w:pPr>
              <w:widowControl/>
              <w:snapToGrid w:val="0"/>
              <w:spacing w:line="320" w:lineRule="exact"/>
              <w:jc w:val="center"/>
              <w:textAlignment w:val="center"/>
              <w:rPr>
                <w:rFonts w:hint="eastAsia" w:ascii="楷体" w:hAnsi="楷体" w:eastAsia="楷体" w:cs="楷体"/>
                <w:szCs w:val="21"/>
                <w:lang w:eastAsia="zh-CN"/>
              </w:rPr>
            </w:pPr>
            <w:r>
              <w:rPr>
                <w:rFonts w:hint="eastAsia" w:ascii="楷体" w:hAnsi="楷体" w:eastAsia="楷体" w:cs="楷体"/>
                <w:szCs w:val="21"/>
                <w:lang w:eastAsia="zh-CN"/>
              </w:rPr>
              <w:t>信息安全规划服务</w:t>
            </w:r>
          </w:p>
        </w:tc>
        <w:tc>
          <w:tcPr>
            <w:tcW w:w="5967"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right="0" w:rightChars="0" w:firstLine="420" w:firstLineChars="200"/>
              <w:jc w:val="left"/>
              <w:textAlignment w:val="center"/>
              <w:rPr>
                <w:rFonts w:hint="eastAsia" w:ascii="楷体" w:hAnsi="楷体" w:eastAsia="楷体" w:cs="楷体"/>
                <w:szCs w:val="21"/>
                <w:lang w:eastAsia="zh-CN"/>
              </w:rPr>
            </w:pPr>
            <w:r>
              <w:rPr>
                <w:rFonts w:hint="eastAsia" w:ascii="楷体" w:hAnsi="楷体" w:eastAsia="楷体" w:cs="楷体"/>
                <w:szCs w:val="21"/>
              </w:rPr>
              <w:t>协助</w:t>
            </w:r>
            <w:r>
              <w:rPr>
                <w:rFonts w:hint="eastAsia" w:ascii="楷体" w:hAnsi="楷体" w:eastAsia="楷体" w:cs="楷体"/>
                <w:szCs w:val="21"/>
                <w:lang w:eastAsia="zh-CN"/>
              </w:rPr>
              <w:t>医院</w:t>
            </w:r>
            <w:r>
              <w:rPr>
                <w:rFonts w:hint="eastAsia" w:ascii="楷体" w:hAnsi="楷体" w:eastAsia="楷体" w:cs="楷体"/>
                <w:szCs w:val="21"/>
              </w:rPr>
              <w:t>完成网络安全规划编制，并对网络安全规划进行跟踪验证。针对</w:t>
            </w:r>
            <w:r>
              <w:rPr>
                <w:rFonts w:hint="eastAsia" w:ascii="楷体" w:hAnsi="楷体" w:eastAsia="楷体" w:cs="楷体"/>
                <w:szCs w:val="21"/>
                <w:lang w:eastAsia="zh-CN"/>
              </w:rPr>
              <w:t>医院</w:t>
            </w:r>
            <w:r>
              <w:rPr>
                <w:rFonts w:hint="eastAsia" w:ascii="楷体" w:hAnsi="楷体" w:eastAsia="楷体" w:cs="楷体"/>
                <w:szCs w:val="21"/>
              </w:rPr>
              <w:t>的安全建设，遵循 “三同步”原则——同步规划、同步建设、同步运行。提供信息安全咨询服务，基于</w:t>
            </w:r>
            <w:r>
              <w:rPr>
                <w:rFonts w:hint="eastAsia" w:ascii="楷体" w:hAnsi="楷体" w:eastAsia="楷体" w:cs="楷体"/>
                <w:szCs w:val="21"/>
                <w:lang w:eastAsia="zh-CN"/>
              </w:rPr>
              <w:t>医院</w:t>
            </w:r>
            <w:r>
              <w:rPr>
                <w:rFonts w:hint="eastAsia" w:ascii="楷体" w:hAnsi="楷体" w:eastAsia="楷体" w:cs="楷体"/>
                <w:szCs w:val="21"/>
              </w:rPr>
              <w:t>信息化顶层设计和新兴技术发展方向，识别信息安全建设任务，制定未来1~3年的信息安全规划，</w:t>
            </w:r>
            <w:r>
              <w:rPr>
                <w:rFonts w:hint="eastAsia" w:ascii="楷体" w:hAnsi="楷体" w:eastAsia="楷体" w:cs="楷体"/>
                <w:szCs w:val="21"/>
                <w:lang w:eastAsia="zh-CN"/>
              </w:rPr>
              <w:t>并进行跟踪、评价、修订。输出《年度信息安全规划》</w:t>
            </w:r>
          </w:p>
        </w:tc>
        <w:tc>
          <w:tcPr>
            <w:tcW w:w="1134"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lang w:val="en-US" w:eastAsia="zh-CN"/>
              </w:rPr>
              <w:t>1</w:t>
            </w:r>
            <w:r>
              <w:rPr>
                <w:rFonts w:hint="eastAsia" w:ascii="楷体" w:hAnsi="楷体" w:eastAsia="楷体" w:cs="楷体"/>
                <w:szCs w:val="21"/>
              </w:rPr>
              <w:t>次/年</w:t>
            </w:r>
          </w:p>
        </w:tc>
        <w:tc>
          <w:tcPr>
            <w:tcW w:w="1134" w:type="dxa"/>
            <w:vMerge w:val="restart"/>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p>
        </w:tc>
        <w:tc>
          <w:tcPr>
            <w:tcW w:w="1134" w:type="dxa"/>
            <w:vMerge w:val="restart"/>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58" w:type="dxa"/>
            <w:vAlign w:val="center"/>
          </w:tcPr>
          <w:p>
            <w:pPr>
              <w:spacing w:line="320" w:lineRule="exact"/>
              <w:jc w:val="center"/>
              <w:rPr>
                <w:rFonts w:hint="eastAsia" w:ascii="楷体" w:hAnsi="楷体" w:eastAsia="楷体" w:cs="楷体"/>
                <w:szCs w:val="21"/>
                <w:lang w:val="en-US" w:eastAsia="zh-CN"/>
              </w:rPr>
            </w:pPr>
            <w:r>
              <w:rPr>
                <w:rFonts w:hint="eastAsia" w:ascii="楷体" w:hAnsi="楷体" w:eastAsia="楷体" w:cs="楷体"/>
                <w:szCs w:val="21"/>
                <w:lang w:val="en-US" w:eastAsia="zh-CN"/>
              </w:rPr>
              <w:t>2</w:t>
            </w:r>
          </w:p>
        </w:tc>
        <w:tc>
          <w:tcPr>
            <w:tcW w:w="1216" w:type="dxa"/>
            <w:vAlign w:val="center"/>
          </w:tcPr>
          <w:p>
            <w:pPr>
              <w:widowControl/>
              <w:snapToGrid w:val="0"/>
              <w:spacing w:line="320" w:lineRule="exact"/>
              <w:jc w:val="center"/>
              <w:textAlignment w:val="center"/>
              <w:rPr>
                <w:rFonts w:hint="eastAsia" w:ascii="楷体" w:hAnsi="楷体" w:eastAsia="楷体" w:cs="楷体"/>
                <w:szCs w:val="21"/>
                <w:lang w:eastAsia="zh-CN"/>
              </w:rPr>
            </w:pPr>
            <w:r>
              <w:rPr>
                <w:rFonts w:hint="eastAsia" w:ascii="楷体" w:hAnsi="楷体" w:eastAsia="楷体" w:cs="楷体"/>
                <w:szCs w:val="21"/>
              </w:rPr>
              <w:t>安全策略优化</w:t>
            </w:r>
          </w:p>
        </w:tc>
        <w:tc>
          <w:tcPr>
            <w:tcW w:w="5967" w:type="dxa"/>
            <w:vAlign w:val="center"/>
          </w:tcPr>
          <w:p>
            <w:pPr>
              <w:ind w:firstLine="420" w:firstLineChars="200"/>
              <w:jc w:val="left"/>
              <w:rPr>
                <w:rFonts w:hint="eastAsia" w:ascii="楷体" w:hAnsi="楷体" w:eastAsia="楷体" w:cs="楷体"/>
                <w:szCs w:val="21"/>
              </w:rPr>
            </w:pPr>
            <w:r>
              <w:rPr>
                <w:rFonts w:hint="eastAsia" w:ascii="楷体" w:hAnsi="楷体" w:eastAsia="楷体" w:cs="楷体"/>
                <w:szCs w:val="21"/>
              </w:rPr>
              <w:t>1、根据《国家信息安全等级保护管理办法》制订针对性的《信息中心网络配置规范》，即安全基线系统。</w:t>
            </w:r>
            <w:r>
              <w:rPr>
                <w:rFonts w:hint="eastAsia" w:ascii="楷体" w:hAnsi="楷体" w:eastAsia="楷体" w:cs="楷体"/>
                <w:szCs w:val="21"/>
              </w:rPr>
              <w:br w:type="textWrapping"/>
            </w:r>
            <w:r>
              <w:rPr>
                <w:rFonts w:hint="eastAsia" w:ascii="楷体" w:hAnsi="楷体" w:eastAsia="楷体" w:cs="楷体"/>
                <w:szCs w:val="21"/>
              </w:rPr>
              <w:t xml:space="preserve">    2、根据《信息系统安全等级保护基本要求》对信息中心对全网核心网元、业务系统和安全设备进行安全基线检查，查找主机设备、网络设备存在的安全配置隐患，对其进行安全策略优化。</w:t>
            </w:r>
          </w:p>
        </w:tc>
        <w:tc>
          <w:tcPr>
            <w:tcW w:w="1134" w:type="dxa"/>
            <w:vAlign w:val="center"/>
          </w:tcPr>
          <w:p>
            <w:pPr>
              <w:spacing w:line="320" w:lineRule="exact"/>
              <w:rPr>
                <w:rFonts w:hint="eastAsia" w:ascii="楷体" w:hAnsi="楷体" w:eastAsia="楷体" w:cs="楷体"/>
                <w:szCs w:val="21"/>
                <w:lang w:val="en-US" w:eastAsia="zh-CN"/>
              </w:rPr>
            </w:pPr>
            <w:r>
              <w:rPr>
                <w:rFonts w:hint="eastAsia" w:ascii="楷体" w:hAnsi="楷体" w:eastAsia="楷体" w:cs="楷体"/>
                <w:szCs w:val="21"/>
              </w:rPr>
              <w:t>2次/年</w:t>
            </w:r>
          </w:p>
        </w:tc>
        <w:tc>
          <w:tcPr>
            <w:tcW w:w="1134" w:type="dxa"/>
            <w:vMerge w:val="continue"/>
            <w:tcBorders/>
            <w:vAlign w:val="center"/>
          </w:tcPr>
          <w:p>
            <w:pPr>
              <w:spacing w:line="320" w:lineRule="exact"/>
              <w:rPr>
                <w:rFonts w:hint="eastAsia" w:ascii="楷体" w:hAnsi="楷体" w:eastAsia="楷体" w:cs="楷体"/>
                <w:szCs w:val="21"/>
              </w:rPr>
            </w:pPr>
          </w:p>
        </w:tc>
        <w:tc>
          <w:tcPr>
            <w:tcW w:w="1134" w:type="dxa"/>
            <w:vMerge w:val="continue"/>
            <w:tcBorders/>
            <w:vAlign w:val="center"/>
          </w:tcPr>
          <w:p>
            <w:pPr>
              <w:spacing w:line="320" w:lineRule="exact"/>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58" w:type="dxa"/>
            <w:vAlign w:val="center"/>
          </w:tcPr>
          <w:p>
            <w:pPr>
              <w:spacing w:line="320" w:lineRule="exact"/>
              <w:jc w:val="center"/>
              <w:rPr>
                <w:rFonts w:hint="eastAsia" w:ascii="楷体" w:hAnsi="楷体" w:eastAsia="楷体" w:cs="楷体"/>
                <w:szCs w:val="21"/>
                <w:lang w:val="en-US" w:eastAsia="zh-CN"/>
              </w:rPr>
            </w:pPr>
            <w:r>
              <w:rPr>
                <w:rFonts w:hint="eastAsia" w:ascii="楷体" w:hAnsi="楷体" w:eastAsia="楷体" w:cs="楷体"/>
                <w:szCs w:val="21"/>
                <w:lang w:val="en-US" w:eastAsia="zh-CN"/>
              </w:rPr>
              <w:t>3</w:t>
            </w:r>
          </w:p>
        </w:tc>
        <w:tc>
          <w:tcPr>
            <w:tcW w:w="1216" w:type="dxa"/>
            <w:vAlign w:val="center"/>
          </w:tcPr>
          <w:p>
            <w:pPr>
              <w:spacing w:line="320" w:lineRule="exact"/>
              <w:rPr>
                <w:rFonts w:hint="eastAsia" w:ascii="楷体" w:hAnsi="楷体" w:eastAsia="楷体" w:cs="楷体"/>
                <w:szCs w:val="21"/>
              </w:rPr>
            </w:pPr>
            <w:r>
              <w:rPr>
                <w:rFonts w:hint="eastAsia" w:ascii="楷体" w:hAnsi="楷体" w:eastAsia="楷体" w:cs="楷体"/>
                <w:szCs w:val="21"/>
              </w:rPr>
              <w:t>安全加固</w:t>
            </w:r>
          </w:p>
          <w:p>
            <w:pPr>
              <w:widowControl/>
              <w:snapToGrid w:val="0"/>
              <w:spacing w:line="320" w:lineRule="exact"/>
              <w:jc w:val="center"/>
              <w:textAlignment w:val="center"/>
              <w:rPr>
                <w:rFonts w:hint="eastAsia" w:ascii="楷体" w:hAnsi="楷体" w:eastAsia="楷体" w:cs="楷体"/>
                <w:szCs w:val="21"/>
                <w:lang w:eastAsia="zh-CN"/>
              </w:rPr>
            </w:pPr>
          </w:p>
        </w:tc>
        <w:tc>
          <w:tcPr>
            <w:tcW w:w="596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1、针对服务过程中发现的系统安全隐患，通过打补丁、修补漏洞、安全配置增强、系统架构和安全策略调整等方式及时进行加固和安全优化。</w:t>
            </w:r>
            <w:r>
              <w:rPr>
                <w:rFonts w:hint="eastAsia" w:ascii="楷体" w:hAnsi="楷体" w:eastAsia="楷体" w:cs="楷体"/>
                <w:szCs w:val="21"/>
              </w:rPr>
              <w:br w:type="textWrapping"/>
            </w:r>
            <w:r>
              <w:rPr>
                <w:rFonts w:hint="eastAsia" w:ascii="楷体" w:hAnsi="楷体" w:eastAsia="楷体" w:cs="楷体"/>
                <w:szCs w:val="21"/>
              </w:rPr>
              <w:t xml:space="preserve">    2、提高系统的安全性和抗攻击能力，以期将系统的安全状况维持在较高的水平，降低安全事件发生的可能性。</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3、对于现有运行系统或第三方软件著作权人产品，需著作权人进行代码级修复或更改的，服务商需出具问题说明函和修复方式给与业主方，以方便业主方协调安排软件著作权人进行整改。对于正处于开发阶段系统的，需在正式上线前，对试运行系统进行安全渗透和加固服务，代码级修复的，需出具安全加固方案，由业主方协调软件著作权人进行整改加固。</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4、对于因系统架构或者应用软件、中间件、数据库等软件问题，可能会引起系统稳定性或者使用性的情况，需出具书面报告，详细描述因加固可能出现的后果，报甲方审核再确定是否可以加固。</w:t>
            </w:r>
          </w:p>
          <w:p>
            <w:pPr>
              <w:jc w:val="left"/>
              <w:rPr>
                <w:rFonts w:hint="eastAsia" w:ascii="楷体" w:hAnsi="楷体" w:eastAsia="楷体" w:cs="楷体"/>
                <w:szCs w:val="21"/>
              </w:rPr>
            </w:pPr>
          </w:p>
        </w:tc>
        <w:tc>
          <w:tcPr>
            <w:tcW w:w="1134" w:type="dxa"/>
            <w:vAlign w:val="center"/>
          </w:tcPr>
          <w:p>
            <w:pPr>
              <w:spacing w:line="320" w:lineRule="exact"/>
              <w:rPr>
                <w:rFonts w:hint="eastAsia" w:ascii="楷体" w:hAnsi="楷体" w:eastAsia="楷体" w:cs="楷体"/>
                <w:szCs w:val="21"/>
                <w:lang w:val="en-US" w:eastAsia="zh-CN"/>
              </w:rPr>
            </w:pPr>
            <w:r>
              <w:rPr>
                <w:rFonts w:hint="eastAsia" w:ascii="楷体" w:hAnsi="楷体" w:eastAsia="楷体" w:cs="楷体"/>
                <w:szCs w:val="21"/>
              </w:rPr>
              <w:t>2次/年</w:t>
            </w:r>
          </w:p>
        </w:tc>
        <w:tc>
          <w:tcPr>
            <w:tcW w:w="1134" w:type="dxa"/>
            <w:vMerge w:val="continue"/>
            <w:tcBorders/>
            <w:vAlign w:val="center"/>
          </w:tcPr>
          <w:p>
            <w:pPr>
              <w:spacing w:line="320" w:lineRule="exact"/>
              <w:rPr>
                <w:rFonts w:hint="eastAsia" w:ascii="楷体" w:hAnsi="楷体" w:eastAsia="楷体" w:cs="楷体"/>
                <w:szCs w:val="21"/>
              </w:rPr>
            </w:pPr>
          </w:p>
        </w:tc>
        <w:tc>
          <w:tcPr>
            <w:tcW w:w="1134" w:type="dxa"/>
            <w:vMerge w:val="continue"/>
            <w:tcBorders/>
            <w:vAlign w:val="center"/>
          </w:tcPr>
          <w:p>
            <w:pPr>
              <w:spacing w:line="320" w:lineRule="exact"/>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58" w:type="dxa"/>
            <w:vAlign w:val="center"/>
          </w:tcPr>
          <w:p>
            <w:pPr>
              <w:spacing w:line="320" w:lineRule="exact"/>
              <w:jc w:val="center"/>
              <w:rPr>
                <w:rFonts w:hint="eastAsia" w:ascii="楷体" w:hAnsi="楷体" w:eastAsia="楷体" w:cs="楷体"/>
                <w:szCs w:val="21"/>
                <w:lang w:val="en-US" w:eastAsia="zh-CN"/>
              </w:rPr>
            </w:pPr>
            <w:r>
              <w:rPr>
                <w:rFonts w:hint="eastAsia" w:ascii="楷体" w:hAnsi="楷体" w:eastAsia="楷体" w:cs="楷体"/>
                <w:szCs w:val="21"/>
                <w:lang w:val="en-US" w:eastAsia="zh-CN"/>
              </w:rPr>
              <w:t>4</w:t>
            </w:r>
          </w:p>
        </w:tc>
        <w:tc>
          <w:tcPr>
            <w:tcW w:w="1216" w:type="dxa"/>
            <w:vAlign w:val="center"/>
          </w:tcPr>
          <w:p>
            <w:pPr>
              <w:spacing w:line="320" w:lineRule="exact"/>
              <w:rPr>
                <w:rFonts w:hint="eastAsia" w:ascii="楷体" w:hAnsi="楷体" w:eastAsia="楷体" w:cs="楷体"/>
                <w:szCs w:val="21"/>
                <w:lang w:eastAsia="zh-CN"/>
              </w:rPr>
            </w:pPr>
            <w:r>
              <w:rPr>
                <w:rFonts w:hint="eastAsia" w:ascii="楷体" w:hAnsi="楷体" w:eastAsia="楷体" w:cs="楷体"/>
                <w:szCs w:val="21"/>
              </w:rPr>
              <w:t>业务上线评估</w:t>
            </w:r>
          </w:p>
        </w:tc>
        <w:tc>
          <w:tcPr>
            <w:tcW w:w="596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提供系统上线安全评估服务。针对医院新增的业务系统，检查是否存在平台系统、应用、数据库、业务逻辑和程序代码漏洞，并提供详细的上线安全评估报告。如发现存在安全漏洞，提供详细的漏洞利用操作步骤、方法及加固建议，提出加固方案。评估内容包括但不限于以下内容</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访问控制限制、主机漏洞扫描、安全基线配置检查、账号弱口令检查、WEB 应用漏洞扫描等;</w:t>
            </w:r>
          </w:p>
        </w:tc>
        <w:tc>
          <w:tcPr>
            <w:tcW w:w="1134" w:type="dxa"/>
            <w:vAlign w:val="center"/>
          </w:tcPr>
          <w:p>
            <w:pPr>
              <w:spacing w:line="320" w:lineRule="exact"/>
              <w:rPr>
                <w:rFonts w:hint="eastAsia" w:ascii="楷体" w:hAnsi="楷体" w:eastAsia="楷体" w:cs="楷体"/>
                <w:szCs w:val="21"/>
                <w:lang w:val="en-US" w:eastAsia="zh-CN"/>
              </w:rPr>
            </w:pPr>
            <w:r>
              <w:rPr>
                <w:rFonts w:hint="eastAsia" w:ascii="楷体" w:hAnsi="楷体" w:eastAsia="楷体" w:cs="楷体"/>
                <w:szCs w:val="21"/>
              </w:rPr>
              <w:t>按需执行</w:t>
            </w:r>
          </w:p>
        </w:tc>
        <w:tc>
          <w:tcPr>
            <w:tcW w:w="1134" w:type="dxa"/>
            <w:vMerge w:val="continue"/>
            <w:tcBorders/>
            <w:vAlign w:val="center"/>
          </w:tcPr>
          <w:p>
            <w:pPr>
              <w:spacing w:line="320" w:lineRule="exact"/>
              <w:rPr>
                <w:rFonts w:hint="eastAsia" w:ascii="楷体" w:hAnsi="楷体" w:eastAsia="楷体" w:cs="楷体"/>
                <w:szCs w:val="21"/>
              </w:rPr>
            </w:pPr>
          </w:p>
        </w:tc>
        <w:tc>
          <w:tcPr>
            <w:tcW w:w="1134" w:type="dxa"/>
            <w:vMerge w:val="continue"/>
            <w:tcBorders/>
            <w:vAlign w:val="center"/>
          </w:tcPr>
          <w:p>
            <w:pPr>
              <w:spacing w:line="320" w:lineRule="exact"/>
              <w:rPr>
                <w:rFonts w:hint="eastAsia" w:ascii="楷体" w:hAnsi="楷体" w:eastAsia="楷体" w:cs="楷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558" w:type="dxa"/>
            <w:vAlign w:val="center"/>
          </w:tcPr>
          <w:p>
            <w:pPr>
              <w:spacing w:line="320" w:lineRule="exact"/>
              <w:jc w:val="center"/>
              <w:rPr>
                <w:rFonts w:hint="eastAsia" w:ascii="楷体" w:hAnsi="楷体" w:eastAsia="楷体" w:cs="楷体"/>
                <w:szCs w:val="21"/>
                <w:lang w:val="en-US" w:eastAsia="zh-CN"/>
              </w:rPr>
            </w:pPr>
            <w:r>
              <w:rPr>
                <w:rFonts w:hint="eastAsia" w:ascii="楷体" w:hAnsi="楷体" w:eastAsia="楷体" w:cs="楷体"/>
                <w:szCs w:val="21"/>
                <w:lang w:val="en-US" w:eastAsia="zh-CN"/>
              </w:rPr>
              <w:t>5</w:t>
            </w:r>
          </w:p>
        </w:tc>
        <w:tc>
          <w:tcPr>
            <w:tcW w:w="1216" w:type="dxa"/>
            <w:vAlign w:val="center"/>
          </w:tcPr>
          <w:p>
            <w:pPr>
              <w:spacing w:line="320" w:lineRule="exact"/>
              <w:rPr>
                <w:rFonts w:hint="eastAsia" w:ascii="楷体" w:hAnsi="楷体" w:eastAsia="楷体" w:cs="楷体"/>
                <w:szCs w:val="21"/>
                <w:lang w:eastAsia="zh-CN"/>
              </w:rPr>
            </w:pPr>
            <w:r>
              <w:rPr>
                <w:rFonts w:hint="eastAsia" w:ascii="楷体" w:hAnsi="楷体" w:eastAsia="楷体" w:cs="楷体"/>
                <w:szCs w:val="21"/>
              </w:rPr>
              <w:t>物联网运维</w:t>
            </w:r>
          </w:p>
        </w:tc>
        <w:tc>
          <w:tcPr>
            <w:tcW w:w="596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1、如有物联网相关节点设备，定期巡视物联网节点设备的部署环境，对可能影响物联网节点设备正常工作的环境异常进行记录和维护，记录维护人、维护设备、故障原因、维护结果等方面内容。</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2、对物联网节点设备、网关节点设备入库、存储、部署、携带、维修、丢失和报废等过程作出明确规定，并进行全程管理。</w:t>
            </w:r>
          </w:p>
        </w:tc>
        <w:tc>
          <w:tcPr>
            <w:tcW w:w="1134" w:type="dxa"/>
            <w:vAlign w:val="center"/>
          </w:tcPr>
          <w:p>
            <w:pPr>
              <w:spacing w:line="320" w:lineRule="exact"/>
              <w:rPr>
                <w:rFonts w:hint="eastAsia" w:ascii="楷体" w:hAnsi="楷体" w:eastAsia="楷体" w:cs="楷体"/>
                <w:szCs w:val="21"/>
                <w:lang w:val="en-US" w:eastAsia="zh-CN"/>
              </w:rPr>
            </w:pPr>
            <w:r>
              <w:rPr>
                <w:rFonts w:hint="eastAsia" w:ascii="楷体" w:hAnsi="楷体" w:eastAsia="楷体" w:cs="楷体"/>
                <w:szCs w:val="21"/>
              </w:rPr>
              <w:t>2次/年</w:t>
            </w:r>
          </w:p>
        </w:tc>
        <w:tc>
          <w:tcPr>
            <w:tcW w:w="1134" w:type="dxa"/>
            <w:vMerge w:val="continue"/>
            <w:tcBorders/>
            <w:vAlign w:val="center"/>
          </w:tcPr>
          <w:p>
            <w:pPr>
              <w:spacing w:line="320" w:lineRule="exact"/>
              <w:rPr>
                <w:rFonts w:hint="eastAsia" w:ascii="楷体" w:hAnsi="楷体" w:eastAsia="楷体" w:cs="楷体"/>
                <w:szCs w:val="21"/>
              </w:rPr>
            </w:pPr>
          </w:p>
        </w:tc>
        <w:tc>
          <w:tcPr>
            <w:tcW w:w="1134" w:type="dxa"/>
            <w:vMerge w:val="continue"/>
            <w:tcBorders/>
            <w:vAlign w:val="center"/>
          </w:tcPr>
          <w:p>
            <w:pPr>
              <w:spacing w:line="320" w:lineRule="exact"/>
              <w:rPr>
                <w:rFonts w:hint="eastAsia" w:ascii="楷体" w:hAnsi="楷体" w:eastAsia="楷体" w:cs="楷体"/>
                <w:szCs w:val="21"/>
              </w:rPr>
            </w:pPr>
          </w:p>
        </w:tc>
      </w:tr>
    </w:tbl>
    <w:p>
      <w:pPr>
        <w:spacing w:line="360"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服务包三（增加服务内容）：</w:t>
      </w:r>
    </w:p>
    <w:tbl>
      <w:tblPr>
        <w:tblStyle w:val="6"/>
        <w:tblW w:w="1123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646"/>
        <w:gridCol w:w="1216"/>
        <w:gridCol w:w="5967"/>
        <w:gridCol w:w="1134"/>
        <w:gridCol w:w="1134"/>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0" w:hRule="atLeast"/>
          <w:jc w:val="center"/>
        </w:trPr>
        <w:tc>
          <w:tcPr>
            <w:tcW w:w="646"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序号</w:t>
            </w:r>
          </w:p>
        </w:tc>
        <w:tc>
          <w:tcPr>
            <w:tcW w:w="1216"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服务项</w:t>
            </w:r>
          </w:p>
        </w:tc>
        <w:tc>
          <w:tcPr>
            <w:tcW w:w="5967"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描述</w:t>
            </w:r>
          </w:p>
        </w:tc>
        <w:tc>
          <w:tcPr>
            <w:tcW w:w="1134"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数量</w:t>
            </w:r>
          </w:p>
        </w:tc>
        <w:tc>
          <w:tcPr>
            <w:tcW w:w="1134"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一年期</w:t>
            </w:r>
          </w:p>
          <w:p>
            <w:pPr>
              <w:spacing w:line="320" w:lineRule="exact"/>
              <w:jc w:val="center"/>
              <w:rPr>
                <w:rFonts w:hint="eastAsia" w:ascii="楷体" w:hAnsi="楷体" w:eastAsia="楷体" w:cs="楷体"/>
                <w:szCs w:val="21"/>
              </w:rPr>
            </w:pPr>
            <w:r>
              <w:rPr>
                <w:rFonts w:hint="eastAsia" w:ascii="楷体" w:hAnsi="楷体" w:eastAsia="楷体" w:cs="楷体"/>
                <w:szCs w:val="21"/>
                <w:lang w:eastAsia="zh-CN"/>
              </w:rPr>
              <w:t>总价</w:t>
            </w:r>
          </w:p>
        </w:tc>
        <w:tc>
          <w:tcPr>
            <w:tcW w:w="1134" w:type="dxa"/>
            <w:vAlign w:val="center"/>
          </w:tcPr>
          <w:p>
            <w:pPr>
              <w:spacing w:line="320" w:lineRule="exact"/>
              <w:jc w:val="center"/>
              <w:rPr>
                <w:rFonts w:hint="eastAsia" w:ascii="楷体" w:hAnsi="楷体" w:eastAsia="楷体" w:cs="楷体"/>
                <w:szCs w:val="21"/>
                <w:lang w:eastAsia="zh-CN"/>
              </w:rPr>
            </w:pPr>
            <w:r>
              <w:rPr>
                <w:rFonts w:hint="eastAsia" w:ascii="楷体" w:hAnsi="楷体" w:eastAsia="楷体" w:cs="楷体"/>
                <w:szCs w:val="21"/>
                <w:lang w:eastAsia="zh-CN"/>
              </w:rPr>
              <w:t>三年期</w:t>
            </w:r>
          </w:p>
          <w:p>
            <w:pPr>
              <w:spacing w:line="320" w:lineRule="exact"/>
              <w:jc w:val="center"/>
              <w:rPr>
                <w:rFonts w:hint="eastAsia" w:ascii="楷体" w:hAnsi="楷体" w:eastAsia="楷体" w:cs="楷体"/>
                <w:szCs w:val="21"/>
              </w:rPr>
            </w:pPr>
            <w:r>
              <w:rPr>
                <w:rFonts w:hint="eastAsia" w:ascii="楷体" w:hAnsi="楷体" w:eastAsia="楷体" w:cs="楷体"/>
                <w:szCs w:val="21"/>
                <w:lang w:eastAsia="zh-CN"/>
              </w:rPr>
              <w:t>总价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646" w:type="dxa"/>
            <w:vAlign w:val="center"/>
          </w:tcPr>
          <w:p>
            <w:pPr>
              <w:widowControl/>
              <w:snapToGrid w:val="0"/>
              <w:spacing w:line="320" w:lineRule="exact"/>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1</w:t>
            </w:r>
          </w:p>
        </w:tc>
        <w:tc>
          <w:tcPr>
            <w:tcW w:w="1216" w:type="dxa"/>
            <w:vAlign w:val="center"/>
          </w:tcPr>
          <w:p>
            <w:pPr>
              <w:widowControl/>
              <w:snapToGrid w:val="0"/>
              <w:spacing w:line="320" w:lineRule="exact"/>
              <w:jc w:val="center"/>
              <w:textAlignment w:val="center"/>
              <w:rPr>
                <w:rFonts w:hint="eastAsia" w:ascii="楷体" w:hAnsi="楷体" w:eastAsia="楷体" w:cs="楷体"/>
                <w:szCs w:val="21"/>
                <w:lang w:eastAsia="zh-CN"/>
              </w:rPr>
            </w:pPr>
          </w:p>
        </w:tc>
        <w:tc>
          <w:tcPr>
            <w:tcW w:w="5967"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right="0" w:rightChars="0" w:firstLine="420" w:firstLineChars="200"/>
              <w:jc w:val="left"/>
              <w:textAlignment w:val="center"/>
              <w:rPr>
                <w:rFonts w:hint="eastAsia" w:ascii="楷体" w:hAnsi="楷体" w:eastAsia="楷体" w:cs="楷体"/>
                <w:szCs w:val="21"/>
                <w:lang w:eastAsia="zh-CN"/>
              </w:rPr>
            </w:pPr>
          </w:p>
        </w:tc>
        <w:tc>
          <w:tcPr>
            <w:tcW w:w="1134"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p>
        </w:tc>
        <w:tc>
          <w:tcPr>
            <w:tcW w:w="1134" w:type="dxa"/>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p>
        </w:tc>
        <w:tc>
          <w:tcPr>
            <w:tcW w:w="1134" w:type="dxa"/>
            <w:vAlign w:val="center"/>
          </w:tcPr>
          <w:p>
            <w:pPr>
              <w:widowControl/>
              <w:snapToGrid w:val="0"/>
              <w:spacing w:line="320" w:lineRule="exact"/>
              <w:ind w:right="105" w:rightChars="50"/>
              <w:jc w:val="center"/>
              <w:textAlignment w:val="center"/>
              <w:rPr>
                <w:rFonts w:hint="eastAsia" w:ascii="楷体" w:hAnsi="楷体" w:eastAsia="楷体" w:cs="楷体"/>
                <w:szCs w:val="21"/>
                <w:lang w:val="en-US" w:eastAsia="zh-CN"/>
              </w:rPr>
            </w:pPr>
          </w:p>
        </w:tc>
      </w:tr>
    </w:tbl>
    <w:p>
      <w:pPr>
        <w:spacing w:line="360" w:lineRule="auto"/>
        <w:ind w:firstLine="560" w:firstLineChars="200"/>
        <w:rPr>
          <w:rFonts w:hint="eastAsia" w:ascii="楷体" w:hAnsi="楷体" w:eastAsia="楷体" w:cs="楷体"/>
          <w:sz w:val="28"/>
          <w:szCs w:val="28"/>
          <w:lang w:eastAsia="zh-CN"/>
        </w:rPr>
      </w:pPr>
    </w:p>
    <w:p>
      <w:pPr>
        <w:pStyle w:val="12"/>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征询时间及</w:t>
      </w:r>
      <w:r>
        <w:rPr>
          <w:rFonts w:hint="eastAsia" w:ascii="楷体" w:hAnsi="楷体" w:eastAsia="楷体" w:cs="楷体"/>
          <w:sz w:val="28"/>
          <w:szCs w:val="28"/>
          <w:lang w:eastAsia="zh-CN"/>
        </w:rPr>
        <w:t>方式</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交解决方案及报价邮件文件截止时间：2023年3月07日北京时间17:30，该询价为初步询价，不作为最终招投标报价，可先将盖章电子档文件扫描件回复至邮箱514578628@qq.com，逾期不予受理。纸质资料(盖鲜章)请送至重钢总医院信息科(地址：重庆市重钢总医院)。</w:t>
      </w:r>
    </w:p>
    <w:p>
      <w:pPr>
        <w:pStyle w:val="18"/>
        <w:spacing w:before="0" w:after="0" w:line="360" w:lineRule="auto"/>
        <w:ind w:firstLine="3679" w:firstLineChars="1533"/>
        <w:outlineLvl w:val="0"/>
        <w:rPr>
          <w:rFonts w:hint="eastAsia" w:ascii="楷体" w:hAnsi="楷体" w:eastAsia="楷体" w:cs="楷体"/>
          <w:kern w:val="2"/>
          <w:sz w:val="24"/>
          <w:szCs w:val="20"/>
          <w:lang w:val="en-US" w:eastAsia="zh-CN" w:bidi="ar-SA"/>
        </w:rPr>
      </w:pPr>
    </w:p>
    <w:p>
      <w:pPr>
        <w:pStyle w:val="18"/>
        <w:spacing w:before="0" w:after="0" w:line="360" w:lineRule="auto"/>
        <w:ind w:firstLine="3679" w:firstLineChars="1533"/>
        <w:outlineLvl w:val="0"/>
        <w:rPr>
          <w:rFonts w:hint="eastAsia" w:ascii="楷体" w:hAnsi="楷体" w:eastAsia="楷体" w:cs="楷体"/>
          <w:kern w:val="2"/>
          <w:sz w:val="24"/>
          <w:szCs w:val="20"/>
          <w:lang w:val="en-US" w:eastAsia="zh-CN" w:bidi="ar-SA"/>
        </w:rPr>
      </w:pPr>
    </w:p>
    <w:p>
      <w:pPr>
        <w:pStyle w:val="18"/>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联系人：黄老师</w:t>
      </w:r>
    </w:p>
    <w:p>
      <w:pPr>
        <w:pStyle w:val="18"/>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联系电话：023-81915049</w:t>
      </w:r>
    </w:p>
    <w:p>
      <w:pPr>
        <w:pStyle w:val="18"/>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 xml:space="preserve">日期：2023年3月03日 </w:t>
      </w:r>
      <w:bookmarkStart w:id="0" w:name="_GoBack"/>
      <w:bookmarkEnd w:id="0"/>
    </w:p>
    <w:p>
      <w:pPr>
        <w:pStyle w:val="13"/>
        <w:numPr>
          <w:ilvl w:val="0"/>
          <w:numId w:val="0"/>
        </w:numPr>
        <w:spacing w:before="31" w:after="31" w:line="360" w:lineRule="auto"/>
        <w:ind w:left="567" w:leftChars="0"/>
        <w:jc w:val="left"/>
        <w:rPr>
          <w:rFonts w:hint="eastAsia" w:ascii="楷体" w:hAnsi="楷体" w:eastAsia="楷体" w:cs="楷体"/>
        </w:rPr>
      </w:pPr>
    </w:p>
    <w:p>
      <w:pPr>
        <w:spacing w:line="360" w:lineRule="auto"/>
        <w:ind w:firstLine="480" w:firstLineChars="200"/>
        <w:outlineLvl w:val="0"/>
        <w:rPr>
          <w:rFonts w:hint="eastAsia" w:ascii="楷体" w:hAnsi="楷体" w:eastAsia="楷体" w:cs="楷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C98B2"/>
    <w:multiLevelType w:val="singleLevel"/>
    <w:tmpl w:val="220C98B2"/>
    <w:lvl w:ilvl="0" w:tentative="0">
      <w:start w:val="1"/>
      <w:numFmt w:val="decimal"/>
      <w:lvlText w:val="%1."/>
      <w:lvlJc w:val="left"/>
      <w:pPr>
        <w:tabs>
          <w:tab w:val="left" w:pos="420"/>
        </w:tabs>
        <w:ind w:left="845" w:hanging="425"/>
      </w:pPr>
      <w:rPr>
        <w:rFonts w:hint="default"/>
      </w:rPr>
    </w:lvl>
  </w:abstractNum>
  <w:abstractNum w:abstractNumId="1">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338816B1"/>
    <w:multiLevelType w:val="multilevel"/>
    <w:tmpl w:val="338816B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702CAD"/>
    <w:multiLevelType w:val="multilevel"/>
    <w:tmpl w:val="6D702CA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6E"/>
    <w:rsid w:val="000129A0"/>
    <w:rsid w:val="00070C1E"/>
    <w:rsid w:val="00090B3E"/>
    <w:rsid w:val="000E0A2E"/>
    <w:rsid w:val="000F46FC"/>
    <w:rsid w:val="00130D69"/>
    <w:rsid w:val="001320ED"/>
    <w:rsid w:val="001F00A5"/>
    <w:rsid w:val="00223F67"/>
    <w:rsid w:val="002D08B8"/>
    <w:rsid w:val="00322FA3"/>
    <w:rsid w:val="00351964"/>
    <w:rsid w:val="00364DF6"/>
    <w:rsid w:val="003E02C2"/>
    <w:rsid w:val="004565A8"/>
    <w:rsid w:val="0049217A"/>
    <w:rsid w:val="004B1633"/>
    <w:rsid w:val="004E524F"/>
    <w:rsid w:val="005377A3"/>
    <w:rsid w:val="00563A32"/>
    <w:rsid w:val="00577027"/>
    <w:rsid w:val="005D67A0"/>
    <w:rsid w:val="005D786A"/>
    <w:rsid w:val="006507A8"/>
    <w:rsid w:val="006C19F5"/>
    <w:rsid w:val="006F0FDA"/>
    <w:rsid w:val="007152FE"/>
    <w:rsid w:val="00724CC6"/>
    <w:rsid w:val="00777E5C"/>
    <w:rsid w:val="00781015"/>
    <w:rsid w:val="007A7262"/>
    <w:rsid w:val="007D383B"/>
    <w:rsid w:val="007F28A5"/>
    <w:rsid w:val="00806DC8"/>
    <w:rsid w:val="009463E0"/>
    <w:rsid w:val="00A83101"/>
    <w:rsid w:val="00AB776E"/>
    <w:rsid w:val="00AD74FA"/>
    <w:rsid w:val="00B90E34"/>
    <w:rsid w:val="00BA2354"/>
    <w:rsid w:val="00C011A1"/>
    <w:rsid w:val="00C06704"/>
    <w:rsid w:val="00C4455A"/>
    <w:rsid w:val="00C71BCC"/>
    <w:rsid w:val="00CA7C5D"/>
    <w:rsid w:val="00DA5688"/>
    <w:rsid w:val="00E27C65"/>
    <w:rsid w:val="00E31A54"/>
    <w:rsid w:val="00E42839"/>
    <w:rsid w:val="00E5026B"/>
    <w:rsid w:val="00ED0125"/>
    <w:rsid w:val="00F86959"/>
    <w:rsid w:val="00F95990"/>
    <w:rsid w:val="00FA1DA0"/>
    <w:rsid w:val="00FD10D9"/>
    <w:rsid w:val="1282318A"/>
    <w:rsid w:val="18FF3FD8"/>
    <w:rsid w:val="1F5A6FDB"/>
    <w:rsid w:val="1FB1048A"/>
    <w:rsid w:val="22F83D88"/>
    <w:rsid w:val="26254CA7"/>
    <w:rsid w:val="35F32474"/>
    <w:rsid w:val="37D523E8"/>
    <w:rsid w:val="38490F10"/>
    <w:rsid w:val="38D10DA3"/>
    <w:rsid w:val="3E217291"/>
    <w:rsid w:val="44F12981"/>
    <w:rsid w:val="466E022A"/>
    <w:rsid w:val="5D1D2459"/>
    <w:rsid w:val="5D8D3DF4"/>
    <w:rsid w:val="60791DD1"/>
    <w:rsid w:val="666F3ACC"/>
    <w:rsid w:val="67DE42F9"/>
    <w:rsid w:val="6BAD5E73"/>
    <w:rsid w:val="6C674EFF"/>
    <w:rsid w:val="6EB7008B"/>
    <w:rsid w:val="74806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U_正文2"/>
    <w:basedOn w:val="1"/>
    <w:link w:val="14"/>
    <w:qFormat/>
    <w:uiPriority w:val="0"/>
    <w:pPr>
      <w:spacing w:beforeLines="10" w:afterLines="10" w:line="300" w:lineRule="auto"/>
    </w:pPr>
    <w:rPr>
      <w:rFonts w:ascii="Times New Roman" w:hAnsi="Times New Roman" w:eastAsia="宋体" w:cs="Times New Roman"/>
      <w:sz w:val="24"/>
      <w:szCs w:val="20"/>
    </w:rPr>
  </w:style>
  <w:style w:type="character" w:customStyle="1" w:styleId="14">
    <w:name w:val="U_正文2 Char"/>
    <w:link w:val="13"/>
    <w:qFormat/>
    <w:uiPriority w:val="0"/>
    <w:rPr>
      <w:rFonts w:ascii="Times New Roman" w:hAnsi="Times New Roman" w:eastAsia="宋体" w:cs="Times New Roman"/>
      <w:sz w:val="24"/>
      <w:szCs w:val="20"/>
    </w:rPr>
  </w:style>
  <w:style w:type="paragraph" w:customStyle="1" w:styleId="15">
    <w:name w:val="U_正文"/>
    <w:basedOn w:val="1"/>
    <w:link w:val="16"/>
    <w:qFormat/>
    <w:uiPriority w:val="0"/>
    <w:pPr>
      <w:spacing w:beforeLines="20" w:afterLines="20" w:line="300" w:lineRule="auto"/>
      <w:ind w:firstLine="200" w:firstLineChars="200"/>
    </w:pPr>
    <w:rPr>
      <w:rFonts w:ascii="Times New Roman" w:hAnsi="Times New Roman" w:eastAsia="宋体" w:cs="Times New Roman"/>
      <w:sz w:val="24"/>
      <w:szCs w:val="20"/>
    </w:rPr>
  </w:style>
  <w:style w:type="character" w:customStyle="1" w:styleId="16">
    <w:name w:val="U_正文 Char"/>
    <w:link w:val="15"/>
    <w:qFormat/>
    <w:uiPriority w:val="0"/>
    <w:rPr>
      <w:rFonts w:ascii="Times New Roman" w:hAnsi="Times New Roman" w:eastAsia="宋体" w:cs="Times New Roman"/>
      <w:sz w:val="24"/>
      <w:szCs w:val="20"/>
    </w:rPr>
  </w:style>
  <w:style w:type="character" w:customStyle="1" w:styleId="17">
    <w:name w:val="标题 1 Char"/>
    <w:basedOn w:val="8"/>
    <w:link w:val="2"/>
    <w:qFormat/>
    <w:uiPriority w:val="9"/>
    <w:rPr>
      <w:b/>
      <w:bCs/>
      <w:kern w:val="44"/>
      <w:sz w:val="44"/>
      <w:szCs w:val="44"/>
    </w:rPr>
  </w:style>
  <w:style w:type="paragraph" w:customStyle="1" w:styleId="18">
    <w:name w:val="Text"/>
    <w:basedOn w:val="1"/>
    <w:qFormat/>
    <w:uiPriority w:val="0"/>
    <w:pPr>
      <w:widowControl w:val="0"/>
      <w:tabs>
        <w:tab w:val="left" w:pos="425"/>
        <w:tab w:val="left" w:pos="851"/>
        <w:tab w:val="left" w:pos="1276"/>
        <w:tab w:val="left" w:pos="1701"/>
        <w:tab w:val="left" w:pos="2126"/>
        <w:tab w:val="left" w:pos="2552"/>
        <w:tab w:val="left" w:pos="2977"/>
      </w:tabs>
      <w:adjustRightInd w:val="0"/>
      <w:spacing w:before="120" w:after="120" w:line="300" w:lineRule="auto"/>
      <w:ind w:firstLine="560"/>
      <w:jc w:val="both"/>
    </w:pPr>
    <w:rPr>
      <w:rFonts w:ascii="宋体" w:hAnsi="宋体" w:eastAsia="仿宋_GB2312"/>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04561-9646-495F-A1CD-7F3684E0CD60}">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1268</Characters>
  <Lines>10</Lines>
  <Paragraphs>2</Paragraphs>
  <TotalTime>16</TotalTime>
  <ScaleCrop>false</ScaleCrop>
  <LinksUpToDate>false</LinksUpToDate>
  <CharactersWithSpaces>1488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2022-03-04T01:02:00Z</dcterms:created>
  <dc:creator>电脑</dc:creator>
  <cp:lastModifiedBy>Anonymity</cp:lastModifiedBy>
  <dcterms:modified xsi:type="dcterms:W3CDTF">2023-03-03T05:41:38Z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431F661BE0BE4F6FB45FBB516CFE0B37</vt:lpwstr>
  </property>
</Properties>
</file>