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b/>
          <w:bCs/>
          <w:sz w:val="32"/>
          <w:szCs w:val="32"/>
        </w:rPr>
        <w:t xml:space="preserve">  </w:t>
      </w:r>
      <w:r>
        <w:rPr>
          <w:rFonts w:hint="eastAsia" w:cs="宋体"/>
          <w:b/>
          <w:bCs/>
          <w:sz w:val="32"/>
          <w:szCs w:val="32"/>
        </w:rPr>
        <w:t>项目名称：</w:t>
      </w:r>
      <w:r>
        <w:rPr>
          <w:b/>
          <w:bCs/>
          <w:sz w:val="32"/>
          <w:szCs w:val="32"/>
          <w:u w:val="single"/>
        </w:rPr>
        <w:t xml:space="preserve"> </w:t>
      </w:r>
      <w:r>
        <w:rPr>
          <w:rFonts w:hint="eastAsia" w:cs="宋体"/>
          <w:b/>
          <w:bCs/>
          <w:sz w:val="32"/>
          <w:szCs w:val="32"/>
          <w:u w:val="single"/>
        </w:rPr>
        <w:t>重钢总医院内控评价服务采购项目</w:t>
      </w:r>
      <w:r>
        <w:rPr>
          <w:b/>
          <w:bCs/>
          <w:sz w:val="32"/>
          <w:szCs w:val="32"/>
          <w:u w:val="single"/>
        </w:rPr>
        <w:t xml:space="preserve"> </w:t>
      </w:r>
      <w:r>
        <w:rPr>
          <w:b/>
          <w:bCs/>
          <w:sz w:val="28"/>
          <w:szCs w:val="28"/>
          <w:u w:val="single"/>
        </w:rPr>
        <w:t xml:space="preserve">  </w:t>
      </w:r>
    </w:p>
    <w:p>
      <w:pPr>
        <w:spacing w:line="800" w:lineRule="exact"/>
        <w:jc w:val="center"/>
        <w:rPr>
          <w:sz w:val="28"/>
          <w:szCs w:val="28"/>
        </w:rPr>
      </w:pPr>
      <w:r>
        <w:rPr>
          <w:rFonts w:hint="eastAsia" w:cs="宋体"/>
          <w:sz w:val="28"/>
          <w:szCs w:val="28"/>
        </w:rPr>
        <w:t>（项目编号：</w:t>
      </w:r>
      <w:r>
        <w:rPr>
          <w:sz w:val="28"/>
          <w:szCs w:val="28"/>
          <w:u w:val="single"/>
        </w:rPr>
        <w:t xml:space="preserve">    CGZYYCG202318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7</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重钢总医院内控评价服务采购项目</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sz w:val="24"/>
          <w:szCs w:val="24"/>
        </w:rPr>
      </w:pPr>
    </w:p>
    <w:p>
      <w:pPr>
        <w:spacing w:line="420" w:lineRule="exact"/>
        <w:ind w:firstLine="480" w:firstLineChars="200"/>
        <w:jc w:val="left"/>
        <w:rPr>
          <w:rFonts w:ascii="宋体"/>
          <w:sz w:val="24"/>
          <w:szCs w:val="24"/>
        </w:rPr>
      </w:pPr>
      <w:r>
        <w:rPr>
          <w:rFonts w:hint="eastAsia" w:ascii="宋体" w:hAnsi="宋体" w:cs="宋体"/>
          <w:sz w:val="24"/>
          <w:szCs w:val="24"/>
        </w:rPr>
        <w:t>重钢总医院拟对重钢总医院内控评价服务采购项目进行比选。欢迎有合法资质的单位前来参选。</w:t>
      </w:r>
    </w:p>
    <w:p>
      <w:pPr>
        <w:tabs>
          <w:tab w:val="left" w:pos="5583"/>
        </w:tabs>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：重钢总医院内控评价服务采购项目</w:t>
      </w:r>
      <w:r>
        <w:rPr>
          <w:rFonts w:ascii="宋体"/>
          <w:sz w:val="24"/>
          <w:szCs w:val="24"/>
        </w:rPr>
        <w:tab/>
      </w:r>
    </w:p>
    <w:p>
      <w:pPr>
        <w:spacing w:line="420" w:lineRule="exact"/>
        <w:ind w:firstLine="482" w:firstLineChars="200"/>
        <w:rPr>
          <w:rFonts w:ascii="宋体"/>
          <w:b/>
          <w:bCs/>
          <w:sz w:val="24"/>
          <w:szCs w:val="24"/>
        </w:rPr>
      </w:pPr>
      <w:r>
        <w:rPr>
          <w:rFonts w:hint="eastAsia" w:ascii="宋体" w:hAnsi="宋体" w:cs="宋体"/>
          <w:b/>
          <w:bCs/>
          <w:sz w:val="24"/>
          <w:szCs w:val="24"/>
        </w:rPr>
        <w:t>二、项目地点：</w:t>
      </w:r>
      <w:r>
        <w:rPr>
          <w:rFonts w:hint="eastAsia" w:ascii="宋体" w:hAnsi="宋体" w:cs="宋体"/>
          <w:sz w:val="24"/>
          <w:szCs w:val="24"/>
        </w:rPr>
        <w:t>重庆市大渡口区大堰三村特</w:t>
      </w:r>
      <w:r>
        <w:rPr>
          <w:rFonts w:ascii="宋体" w:hAnsi="宋体" w:cs="宋体"/>
          <w:sz w:val="24"/>
          <w:szCs w:val="24"/>
        </w:rPr>
        <w:t>1</w:t>
      </w:r>
      <w:r>
        <w:rPr>
          <w:rFonts w:hint="eastAsia" w:ascii="宋体" w:hAnsi="宋体" w:cs="宋体"/>
          <w:sz w:val="24"/>
          <w:szCs w:val="24"/>
        </w:rPr>
        <w:t>号</w:t>
      </w:r>
    </w:p>
    <w:p>
      <w:pPr>
        <w:spacing w:line="420" w:lineRule="exact"/>
        <w:ind w:firstLine="482" w:firstLineChars="200"/>
        <w:rPr>
          <w:rFonts w:ascii="宋体"/>
          <w:sz w:val="24"/>
          <w:szCs w:val="24"/>
        </w:rPr>
      </w:pPr>
      <w:r>
        <w:rPr>
          <w:rFonts w:hint="eastAsia" w:ascii="宋体" w:hAnsi="宋体" w:cs="宋体"/>
          <w:b/>
          <w:bCs/>
          <w:sz w:val="24"/>
          <w:szCs w:val="24"/>
        </w:rPr>
        <w:t>三、服务周期</w:t>
      </w:r>
      <w:r>
        <w:rPr>
          <w:rFonts w:hint="eastAsia" w:ascii="宋体" w:hAnsi="宋体" w:cs="宋体"/>
          <w:sz w:val="24"/>
          <w:szCs w:val="24"/>
        </w:rPr>
        <w:t>：接到采购人通知后不超过</w:t>
      </w:r>
      <w:r>
        <w:rPr>
          <w:rFonts w:ascii="宋体" w:hAnsi="宋体" w:cs="宋体"/>
          <w:sz w:val="24"/>
          <w:szCs w:val="24"/>
        </w:rPr>
        <w:t>2</w:t>
      </w:r>
      <w:r>
        <w:rPr>
          <w:rFonts w:hint="eastAsia" w:ascii="宋体" w:hAnsi="宋体" w:cs="宋体"/>
          <w:sz w:val="24"/>
          <w:szCs w:val="24"/>
        </w:rPr>
        <w:t>个月提供报告初稿，不超过</w:t>
      </w:r>
      <w:r>
        <w:rPr>
          <w:rFonts w:ascii="宋体" w:hAnsi="宋体" w:cs="宋体"/>
          <w:sz w:val="24"/>
          <w:szCs w:val="24"/>
        </w:rPr>
        <w:t>3</w:t>
      </w:r>
      <w:r>
        <w:rPr>
          <w:rFonts w:hint="eastAsia" w:ascii="宋体" w:hAnsi="宋体" w:cs="宋体"/>
          <w:sz w:val="24"/>
          <w:szCs w:val="24"/>
        </w:rPr>
        <w:t>个月出具正式</w:t>
      </w:r>
      <w:r>
        <w:rPr>
          <w:rFonts w:hint="eastAsia" w:ascii="宋体" w:hAnsi="宋体" w:cs="宋体"/>
          <w:sz w:val="24"/>
          <w:szCs w:val="24"/>
          <w:lang w:eastAsia="zh-CN"/>
        </w:rPr>
        <w:t>报告</w:t>
      </w:r>
      <w:r>
        <w:rPr>
          <w:rFonts w:hint="eastAsia" w:ascii="宋体" w:hAnsi="宋体" w:cs="宋体"/>
          <w:sz w:val="24"/>
          <w:szCs w:val="24"/>
        </w:rPr>
        <w:t>，项目验收合格后，提供</w:t>
      </w:r>
      <w:r>
        <w:rPr>
          <w:rFonts w:hint="eastAsia" w:ascii="宋体" w:hAnsi="宋体" w:cs="宋体"/>
          <w:sz w:val="24"/>
          <w:szCs w:val="24"/>
          <w:lang w:eastAsia="zh-CN"/>
        </w:rPr>
        <w:t>至少</w:t>
      </w:r>
      <w:r>
        <w:rPr>
          <w:rFonts w:hint="eastAsia" w:ascii="宋体" w:hAnsi="宋体" w:cs="宋体"/>
          <w:sz w:val="24"/>
          <w:szCs w:val="24"/>
        </w:rPr>
        <w:t>一年</w:t>
      </w:r>
      <w:r>
        <w:rPr>
          <w:rFonts w:hint="eastAsia" w:ascii="宋体" w:hAnsi="宋体" w:cs="宋体"/>
          <w:sz w:val="24"/>
          <w:szCs w:val="24"/>
          <w:lang w:eastAsia="zh-CN"/>
        </w:rPr>
        <w:t>的</w:t>
      </w:r>
      <w:r>
        <w:rPr>
          <w:rFonts w:hint="eastAsia" w:ascii="宋体" w:hAnsi="宋体" w:cs="宋体"/>
          <w:sz w:val="24"/>
          <w:szCs w:val="24"/>
        </w:rPr>
        <w:t>售后</w:t>
      </w:r>
      <w:r>
        <w:rPr>
          <w:rFonts w:hint="eastAsia" w:ascii="宋体" w:hAnsi="宋体" w:cs="宋体"/>
          <w:sz w:val="24"/>
          <w:szCs w:val="24"/>
          <w:lang w:eastAsia="zh-CN"/>
        </w:rPr>
        <w:t>（咨询）</w:t>
      </w:r>
      <w:r>
        <w:rPr>
          <w:rFonts w:hint="eastAsia" w:ascii="宋体" w:hAnsi="宋体" w:cs="宋体"/>
          <w:sz w:val="24"/>
          <w:szCs w:val="24"/>
        </w:rPr>
        <w:t>服务期。</w:t>
      </w:r>
    </w:p>
    <w:p>
      <w:pPr>
        <w:spacing w:line="420" w:lineRule="exact"/>
        <w:ind w:firstLine="482" w:firstLineChars="200"/>
        <w:rPr>
          <w:rFonts w:ascii="宋体"/>
          <w:sz w:val="24"/>
          <w:szCs w:val="24"/>
        </w:rPr>
      </w:pPr>
      <w:r>
        <w:rPr>
          <w:rFonts w:hint="eastAsia" w:cs="宋体"/>
          <w:b/>
          <w:bCs/>
          <w:sz w:val="24"/>
          <w:szCs w:val="24"/>
        </w:rPr>
        <w:t>四、</w:t>
      </w:r>
      <w:r>
        <w:rPr>
          <w:rFonts w:hint="eastAsia" w:ascii="宋体" w:hAnsi="宋体" w:cs="宋体"/>
          <w:b/>
          <w:bCs/>
          <w:sz w:val="24"/>
          <w:szCs w:val="24"/>
        </w:rPr>
        <w:t>参选要求</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（一）具有独立承担民事责任的能力，</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w:t>
      </w:r>
      <w:r>
        <w:rPr>
          <w:rFonts w:hint="eastAsia" w:ascii="宋体" w:hAnsi="宋体" w:cs="宋体"/>
          <w:color w:val="000000"/>
          <w:sz w:val="24"/>
          <w:szCs w:val="24"/>
        </w:rPr>
        <w:t>具有</w:t>
      </w:r>
      <w:r>
        <w:rPr>
          <w:rFonts w:hint="eastAsia" w:ascii="宋体" w:hAnsi="宋体" w:cs="宋体"/>
          <w:sz w:val="24"/>
          <w:szCs w:val="24"/>
        </w:rPr>
        <w:t>健全的财务会计制度、具有履行合同所必须的专业技术能力，并在人员、设备、资金等方面具有相应的能力。（提供加盖响应人鲜章的营业执照复印件）。</w:t>
      </w:r>
    </w:p>
    <w:p>
      <w:pPr>
        <w:spacing w:line="420" w:lineRule="exact"/>
        <w:ind w:firstLine="480" w:firstLineChars="200"/>
        <w:rPr>
          <w:rFonts w:ascii="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sz w:val="24"/>
          <w:szCs w:val="24"/>
        </w:rPr>
      </w:pPr>
      <w:r>
        <w:rPr>
          <w:rFonts w:hint="eastAsia" w:ascii="宋体" w:hAnsi="宋体" w:cs="宋体"/>
          <w:sz w:val="24"/>
          <w:szCs w:val="24"/>
        </w:rPr>
        <w:t>“信用信息”查询结果。</w:t>
      </w:r>
    </w:p>
    <w:p>
      <w:pPr>
        <w:spacing w:line="420" w:lineRule="exact"/>
        <w:ind w:firstLine="480" w:firstLineChars="200"/>
        <w:rPr>
          <w:rFonts w:ascii="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sz w:val="24"/>
          <w:szCs w:val="24"/>
        </w:rPr>
      </w:pPr>
      <w:r>
        <w:rPr>
          <w:rFonts w:hint="eastAsia" w:ascii="宋体" w:cs="宋体"/>
          <w:sz w:val="24"/>
          <w:szCs w:val="24"/>
        </w:rPr>
        <w:t>（三）</w:t>
      </w:r>
      <w:r>
        <w:rPr>
          <w:rFonts w:hint="eastAsia" w:ascii="宋体" w:hAnsi="宋体" w:cs="宋体"/>
          <w:sz w:val="24"/>
          <w:szCs w:val="24"/>
        </w:rPr>
        <w:t>项目负责人为注册会计师，具有近五年做过二甲及以上公立医院内控全面评价服务经历，并提供相关佐证材料。</w:t>
      </w:r>
    </w:p>
    <w:p>
      <w:pPr>
        <w:spacing w:line="420" w:lineRule="exact"/>
        <w:ind w:firstLine="480" w:firstLineChars="200"/>
        <w:rPr>
          <w:rFonts w:ascii="宋体"/>
          <w:sz w:val="24"/>
          <w:szCs w:val="24"/>
        </w:rPr>
      </w:pPr>
      <w:r>
        <w:rPr>
          <w:rFonts w:hint="eastAsia" w:ascii="宋体" w:cs="宋体"/>
          <w:sz w:val="24"/>
          <w:szCs w:val="24"/>
        </w:rPr>
        <w:t>（四）法律、行政法规规定的其他条件。</w:t>
      </w:r>
    </w:p>
    <w:p>
      <w:pPr>
        <w:spacing w:line="420" w:lineRule="exact"/>
        <w:ind w:firstLine="480" w:firstLineChars="200"/>
        <w:rPr>
          <w:rFonts w:ascii="宋体"/>
          <w:sz w:val="24"/>
          <w:szCs w:val="24"/>
        </w:rPr>
      </w:pPr>
      <w:r>
        <w:rPr>
          <w:rFonts w:hint="eastAsia" w:ascii="宋体" w:cs="宋体"/>
          <w:sz w:val="24"/>
          <w:szCs w:val="24"/>
        </w:rPr>
        <w:t>（五）本次比选不接受联合体参与。</w:t>
      </w:r>
    </w:p>
    <w:p>
      <w:pPr>
        <w:spacing w:line="420" w:lineRule="exact"/>
        <w:ind w:firstLine="482" w:firstLineChars="200"/>
        <w:rPr>
          <w:rFonts w:ascii="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w:t>
      </w:r>
    </w:p>
    <w:p>
      <w:pPr>
        <w:spacing w:line="420" w:lineRule="exact"/>
        <w:ind w:firstLine="480" w:firstLineChars="200"/>
        <w:rPr>
          <w:rFonts w:ascii="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w:t>
      </w:r>
      <w:r>
        <w:rPr>
          <w:rFonts w:hint="eastAsia" w:ascii="宋体" w:hAnsi="宋体" w:cs="宋体"/>
          <w:sz w:val="24"/>
          <w:szCs w:val="24"/>
          <w:lang w:eastAsia="zh-CN"/>
        </w:rPr>
        <w:t>下</w:t>
      </w:r>
      <w:r>
        <w:rPr>
          <w:rFonts w:hint="eastAsia" w:ascii="宋体" w:hAnsi="宋体" w:cs="宋体"/>
          <w:sz w:val="24"/>
          <w:szCs w:val="24"/>
        </w:rPr>
        <w:t>午</w:t>
      </w:r>
      <w:r>
        <w:rPr>
          <w:rFonts w:hint="eastAsia" w:ascii="宋体" w:hAnsi="宋体" w:cs="宋体"/>
          <w:sz w:val="24"/>
          <w:szCs w:val="24"/>
          <w:lang w:val="en-US" w:eastAsia="zh-CN"/>
        </w:rPr>
        <w:t>15</w:t>
      </w:r>
      <w:r>
        <w:rPr>
          <w:rFonts w:ascii="宋体" w:hAnsi="宋体" w:cs="宋体"/>
          <w:sz w:val="24"/>
          <w:szCs w:val="24"/>
        </w:rPr>
        <w:t>:00</w:t>
      </w:r>
      <w:r>
        <w:rPr>
          <w:rFonts w:hint="eastAsia" w:ascii="宋体" w:hAnsi="宋体" w:cs="宋体"/>
          <w:sz w:val="24"/>
          <w:szCs w:val="24"/>
        </w:rPr>
        <w:t>时。</w:t>
      </w:r>
    </w:p>
    <w:p>
      <w:pPr>
        <w:spacing w:line="420" w:lineRule="exact"/>
        <w:ind w:firstLine="480" w:firstLineChars="200"/>
        <w:rPr>
          <w:rFonts w:ascii="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40" w:lineRule="exact"/>
        <w:ind w:firstLine="480" w:firstLineChars="200"/>
        <w:rPr>
          <w:rFonts w:ascii="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w:t>
      </w:r>
      <w:r>
        <w:rPr>
          <w:rFonts w:hint="eastAsia" w:ascii="宋体" w:hAnsi="宋体" w:cs="宋体"/>
          <w:sz w:val="24"/>
          <w:szCs w:val="24"/>
          <w:lang w:eastAsia="zh-CN"/>
        </w:rPr>
        <w:t>下</w:t>
      </w:r>
      <w:r>
        <w:rPr>
          <w:rFonts w:hint="eastAsia" w:ascii="宋体" w:hAnsi="宋体" w:cs="宋体"/>
          <w:sz w:val="24"/>
          <w:szCs w:val="24"/>
        </w:rPr>
        <w:t>午</w:t>
      </w:r>
      <w:r>
        <w:rPr>
          <w:rFonts w:hint="eastAsia" w:ascii="宋体" w:hAnsi="宋体" w:cs="宋体"/>
          <w:sz w:val="24"/>
          <w:szCs w:val="24"/>
          <w:lang w:val="en-US" w:eastAsia="zh-CN"/>
        </w:rPr>
        <w:t>15</w:t>
      </w:r>
      <w:r>
        <w:rPr>
          <w:rFonts w:ascii="宋体" w:hAnsi="宋体" w:cs="宋体"/>
          <w:sz w:val="24"/>
          <w:szCs w:val="24"/>
        </w:rPr>
        <w:t>:00</w:t>
      </w:r>
      <w:r>
        <w:rPr>
          <w:rFonts w:hint="eastAsia" w:ascii="宋体" w:hAnsi="宋体" w:cs="宋体"/>
          <w:sz w:val="24"/>
          <w:szCs w:val="24"/>
        </w:rPr>
        <w:t>时。超过截止时间的恕不接受。（现场递交响应文件）。如比选时间与比选方临时会议冲突，比选时间由比选方临时通知，响应文件递交截止时间以比选方临时通知为准。</w:t>
      </w:r>
    </w:p>
    <w:p>
      <w:pPr>
        <w:spacing w:line="440" w:lineRule="exact"/>
        <w:ind w:firstLine="480" w:firstLineChars="200"/>
        <w:rPr>
          <w:rFonts w:ascii="宋体"/>
          <w:b/>
          <w:bCs/>
          <w:sz w:val="24"/>
          <w:szCs w:val="24"/>
        </w:rPr>
      </w:pPr>
      <w:r>
        <w:rPr>
          <w:rFonts w:hint="eastAsia" w:ascii="宋体" w:hAnsi="宋体" w:cs="宋体"/>
          <w:sz w:val="24"/>
          <w:szCs w:val="24"/>
        </w:rPr>
        <w:t>（五）响应文件递交方式：重钢总医院办公楼三楼一会议室。</w:t>
      </w:r>
    </w:p>
    <w:p>
      <w:pPr>
        <w:spacing w:line="440" w:lineRule="exact"/>
        <w:ind w:firstLine="482" w:firstLineChars="200"/>
        <w:rPr>
          <w:rFonts w:ascii="宋体"/>
          <w:sz w:val="24"/>
          <w:szCs w:val="24"/>
        </w:rPr>
      </w:pPr>
      <w:r>
        <w:rPr>
          <w:rFonts w:hint="eastAsia" w:ascii="宋体" w:hAnsi="宋体" w:cs="宋体"/>
          <w:b/>
          <w:bCs/>
          <w:sz w:val="24"/>
          <w:szCs w:val="24"/>
        </w:rPr>
        <w:t>七、联系人</w:t>
      </w:r>
    </w:p>
    <w:p>
      <w:pPr>
        <w:spacing w:line="420" w:lineRule="exact"/>
        <w:ind w:firstLine="480" w:firstLineChars="200"/>
        <w:rPr>
          <w:rFonts w:ascii="宋体"/>
          <w:sz w:val="24"/>
          <w:szCs w:val="24"/>
        </w:rPr>
      </w:pPr>
      <w:r>
        <w:rPr>
          <w:rFonts w:hint="eastAsia" w:ascii="宋体" w:hAnsi="宋体" w:cs="宋体"/>
          <w:sz w:val="24"/>
          <w:szCs w:val="24"/>
        </w:rPr>
        <w:t>比选人：重钢总医院</w:t>
      </w:r>
      <w:r>
        <w:rPr>
          <w:rFonts w:ascii="宋体" w:hAnsi="宋体" w:cs="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ascii="宋体"/>
          <w:sz w:val="24"/>
          <w:szCs w:val="24"/>
        </w:rPr>
      </w:pPr>
      <w:r>
        <w:rPr>
          <w:rFonts w:hint="eastAsia" w:ascii="宋体" w:hAnsi="宋体" w:cs="宋体"/>
          <w:sz w:val="24"/>
          <w:szCs w:val="24"/>
        </w:rPr>
        <w:t>业务部门联系人：范老师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023-81915016</w:t>
      </w: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pacing w:line="420" w:lineRule="exact"/>
        <w:jc w:val="center"/>
        <w:rPr>
          <w:rFonts w:asci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b/>
          <w:bCs/>
          <w:sz w:val="24"/>
          <w:szCs w:val="24"/>
        </w:rPr>
      </w:pPr>
    </w:p>
    <w:p>
      <w:pPr>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：重钢总医院内控评价服务采购项目</w:t>
      </w:r>
    </w:p>
    <w:p>
      <w:pPr>
        <w:spacing w:line="420" w:lineRule="exact"/>
        <w:ind w:firstLine="482" w:firstLineChars="200"/>
        <w:jc w:val="left"/>
        <w:rPr>
          <w:rFonts w:ascii="宋体"/>
          <w:b/>
          <w:bCs/>
          <w:sz w:val="24"/>
          <w:szCs w:val="24"/>
        </w:rPr>
      </w:pPr>
      <w:r>
        <w:rPr>
          <w:rFonts w:hint="eastAsia" w:ascii="宋体" w:hAnsi="宋体" w:cs="宋体"/>
          <w:b/>
          <w:bCs/>
          <w:sz w:val="24"/>
          <w:szCs w:val="24"/>
        </w:rPr>
        <w:t>二、技术要求</w:t>
      </w:r>
      <w:r>
        <w:rPr>
          <w:rFonts w:ascii="宋体" w:hAnsi="宋体" w:cs="宋体"/>
          <w:b/>
          <w:bCs/>
          <w:sz w:val="24"/>
          <w:szCs w:val="24"/>
        </w:rPr>
        <w:t>:</w:t>
      </w:r>
    </w:p>
    <w:p>
      <w:pPr>
        <w:spacing w:line="420" w:lineRule="exact"/>
        <w:ind w:firstLine="480" w:firstLineChars="200"/>
        <w:jc w:val="left"/>
        <w:rPr>
          <w:rFonts w:ascii="宋体"/>
          <w:sz w:val="24"/>
          <w:szCs w:val="24"/>
        </w:rPr>
      </w:pPr>
      <w:r>
        <w:rPr>
          <w:rFonts w:hint="eastAsia" w:cs="宋体"/>
          <w:sz w:val="24"/>
          <w:szCs w:val="24"/>
        </w:rPr>
        <w:t>（一）</w:t>
      </w:r>
      <w:r>
        <w:rPr>
          <w:rFonts w:hint="eastAsia" w:ascii="宋体" w:cs="宋体"/>
          <w:sz w:val="24"/>
          <w:szCs w:val="24"/>
        </w:rPr>
        <w:t>医院简介。</w:t>
      </w:r>
    </w:p>
    <w:p>
      <w:pPr>
        <w:spacing w:line="420" w:lineRule="exact"/>
        <w:ind w:firstLine="480" w:firstLineChars="200"/>
        <w:jc w:val="left"/>
        <w:rPr>
          <w:rFonts w:ascii="宋体"/>
          <w:sz w:val="24"/>
          <w:szCs w:val="24"/>
        </w:rPr>
      </w:pPr>
      <w:r>
        <w:rPr>
          <w:rFonts w:hint="eastAsia" w:ascii="宋体" w:cs="宋体"/>
          <w:sz w:val="24"/>
          <w:szCs w:val="24"/>
        </w:rPr>
        <w:t>重钢总医院建于</w:t>
      </w:r>
      <w:r>
        <w:rPr>
          <w:rFonts w:ascii="宋体" w:cs="宋体"/>
          <w:sz w:val="24"/>
          <w:szCs w:val="24"/>
        </w:rPr>
        <w:t>1938</w:t>
      </w:r>
      <w:r>
        <w:rPr>
          <w:rFonts w:hint="eastAsia" w:ascii="宋体" w:cs="宋体"/>
          <w:sz w:val="24"/>
          <w:szCs w:val="24"/>
        </w:rPr>
        <w:t>年，是一所集医疗、教学、科研、公共卫生、预防保健为一体的三级甲等综合医院，也是重庆邮电大学附属医院。医院占地面积</w:t>
      </w:r>
      <w:r>
        <w:rPr>
          <w:rFonts w:ascii="宋体" w:cs="宋体"/>
          <w:sz w:val="24"/>
          <w:szCs w:val="24"/>
        </w:rPr>
        <w:t>63.58</w:t>
      </w:r>
      <w:r>
        <w:rPr>
          <w:rFonts w:hint="eastAsia" w:ascii="宋体" w:cs="宋体"/>
          <w:sz w:val="24"/>
          <w:szCs w:val="24"/>
        </w:rPr>
        <w:t>亩，业务用房面积</w:t>
      </w:r>
      <w:r>
        <w:rPr>
          <w:rFonts w:ascii="宋体" w:cs="宋体"/>
          <w:sz w:val="24"/>
          <w:szCs w:val="24"/>
        </w:rPr>
        <w:t>7</w:t>
      </w:r>
      <w:r>
        <w:rPr>
          <w:rFonts w:hint="eastAsia" w:ascii="宋体" w:cs="宋体"/>
          <w:sz w:val="24"/>
          <w:szCs w:val="24"/>
        </w:rPr>
        <w:t>万余平方米，编制床位</w:t>
      </w:r>
      <w:r>
        <w:rPr>
          <w:rFonts w:ascii="宋体" w:cs="宋体"/>
          <w:sz w:val="24"/>
          <w:szCs w:val="24"/>
        </w:rPr>
        <w:t>800</w:t>
      </w:r>
      <w:r>
        <w:rPr>
          <w:rFonts w:hint="eastAsia" w:ascii="宋体" w:cs="宋体"/>
          <w:sz w:val="24"/>
          <w:szCs w:val="24"/>
        </w:rPr>
        <w:t>张（实际开放床位</w:t>
      </w:r>
      <w:r>
        <w:rPr>
          <w:rFonts w:ascii="宋体" w:cs="宋体"/>
          <w:sz w:val="24"/>
          <w:szCs w:val="24"/>
        </w:rPr>
        <w:t>1145</w:t>
      </w:r>
      <w:r>
        <w:rPr>
          <w:rFonts w:hint="eastAsia" w:ascii="宋体" w:cs="宋体"/>
          <w:sz w:val="24"/>
          <w:szCs w:val="24"/>
        </w:rPr>
        <w:t>张），现有职工</w:t>
      </w:r>
      <w:r>
        <w:rPr>
          <w:rFonts w:ascii="宋体" w:cs="宋体"/>
          <w:sz w:val="24"/>
          <w:szCs w:val="24"/>
        </w:rPr>
        <w:t>992</w:t>
      </w:r>
      <w:r>
        <w:rPr>
          <w:rFonts w:hint="eastAsia" w:ascii="宋体" w:cs="宋体"/>
          <w:sz w:val="24"/>
          <w:szCs w:val="24"/>
        </w:rPr>
        <w:t>人，医院开设临床科室</w:t>
      </w:r>
      <w:r>
        <w:rPr>
          <w:rFonts w:ascii="宋体" w:cs="宋体"/>
          <w:sz w:val="24"/>
          <w:szCs w:val="24"/>
        </w:rPr>
        <w:t>22</w:t>
      </w:r>
      <w:r>
        <w:rPr>
          <w:rFonts w:hint="eastAsia" w:ascii="宋体" w:cs="宋体"/>
          <w:sz w:val="24"/>
          <w:szCs w:val="24"/>
        </w:rPr>
        <w:t>个，医技科室</w:t>
      </w:r>
      <w:r>
        <w:rPr>
          <w:rFonts w:ascii="宋体" w:cs="宋体"/>
          <w:sz w:val="24"/>
          <w:szCs w:val="24"/>
        </w:rPr>
        <w:t>8</w:t>
      </w:r>
      <w:r>
        <w:rPr>
          <w:rFonts w:hint="eastAsia" w:ascii="宋体" w:cs="宋体"/>
          <w:sz w:val="24"/>
          <w:szCs w:val="24"/>
        </w:rPr>
        <w:t>个，门诊部</w:t>
      </w:r>
      <w:r>
        <w:rPr>
          <w:rFonts w:ascii="宋体" w:cs="宋体"/>
          <w:sz w:val="24"/>
          <w:szCs w:val="24"/>
        </w:rPr>
        <w:t>5</w:t>
      </w:r>
      <w:r>
        <w:rPr>
          <w:rFonts w:hint="eastAsia" w:ascii="宋体" w:cs="宋体"/>
          <w:sz w:val="24"/>
          <w:szCs w:val="24"/>
        </w:rPr>
        <w:t>个，社区卫生服务中心</w:t>
      </w:r>
      <w:r>
        <w:rPr>
          <w:rFonts w:ascii="宋体" w:cs="宋体"/>
          <w:sz w:val="24"/>
          <w:szCs w:val="24"/>
        </w:rPr>
        <w:t>2</w:t>
      </w:r>
      <w:r>
        <w:rPr>
          <w:rFonts w:hint="eastAsia" w:ascii="宋体" w:cs="宋体"/>
          <w:sz w:val="24"/>
          <w:szCs w:val="24"/>
        </w:rPr>
        <w:t>个，养老院</w:t>
      </w:r>
      <w:r>
        <w:rPr>
          <w:rFonts w:ascii="宋体" w:cs="宋体"/>
          <w:sz w:val="24"/>
          <w:szCs w:val="24"/>
        </w:rPr>
        <w:t>1</w:t>
      </w:r>
      <w:r>
        <w:rPr>
          <w:rFonts w:hint="eastAsia" w:ascii="宋体" w:cs="宋体"/>
          <w:sz w:val="24"/>
          <w:szCs w:val="24"/>
        </w:rPr>
        <w:t>个、养老服务中心</w:t>
      </w:r>
      <w:r>
        <w:rPr>
          <w:rFonts w:ascii="宋体" w:cs="宋体"/>
          <w:sz w:val="24"/>
          <w:szCs w:val="24"/>
        </w:rPr>
        <w:t>1</w:t>
      </w:r>
      <w:r>
        <w:rPr>
          <w:rFonts w:hint="eastAsia" w:ascii="宋体" w:cs="宋体"/>
          <w:sz w:val="24"/>
          <w:szCs w:val="24"/>
        </w:rPr>
        <w:t>个，承担主城西区五十余万居民健康管理工作。</w:t>
      </w:r>
    </w:p>
    <w:p>
      <w:pPr>
        <w:spacing w:line="420" w:lineRule="exact"/>
        <w:ind w:firstLine="480" w:firstLineChars="200"/>
        <w:jc w:val="left"/>
        <w:rPr>
          <w:rFonts w:ascii="宋体"/>
          <w:sz w:val="24"/>
          <w:szCs w:val="24"/>
        </w:rPr>
      </w:pPr>
      <w:r>
        <w:rPr>
          <w:rFonts w:hint="eastAsia" w:ascii="宋体" w:cs="宋体"/>
          <w:sz w:val="24"/>
          <w:szCs w:val="24"/>
        </w:rPr>
        <w:t>（二）项目概况。</w:t>
      </w:r>
    </w:p>
    <w:p>
      <w:pPr>
        <w:spacing w:line="420" w:lineRule="exact"/>
        <w:ind w:firstLine="480" w:firstLineChars="200"/>
        <w:jc w:val="left"/>
        <w:rPr>
          <w:rFonts w:ascii="宋体"/>
          <w:sz w:val="24"/>
          <w:szCs w:val="24"/>
        </w:rPr>
      </w:pPr>
      <w:r>
        <w:rPr>
          <w:rFonts w:hint="eastAsia" w:ascii="宋体" w:cs="宋体"/>
          <w:sz w:val="24"/>
          <w:szCs w:val="24"/>
        </w:rPr>
        <w:t>本项目为对医院内部控制设计有效性和运行有效性进行评价。</w:t>
      </w:r>
    </w:p>
    <w:p>
      <w:pPr>
        <w:spacing w:line="420" w:lineRule="exact"/>
        <w:ind w:firstLine="480" w:firstLineChars="200"/>
        <w:jc w:val="left"/>
        <w:rPr>
          <w:rFonts w:ascii="宋体"/>
          <w:sz w:val="24"/>
          <w:szCs w:val="24"/>
        </w:rPr>
      </w:pPr>
      <w:r>
        <w:rPr>
          <w:rFonts w:ascii="宋体" w:cs="宋体"/>
          <w:sz w:val="24"/>
          <w:szCs w:val="24"/>
        </w:rPr>
        <w:t>1</w:t>
      </w:r>
      <w:r>
        <w:rPr>
          <w:rFonts w:hint="eastAsia" w:ascii="宋体" w:cs="宋体"/>
          <w:sz w:val="24"/>
          <w:szCs w:val="24"/>
        </w:rPr>
        <w:t>、服务内容：</w:t>
      </w:r>
    </w:p>
    <w:p>
      <w:pPr>
        <w:spacing w:line="420" w:lineRule="exact"/>
        <w:ind w:firstLine="480" w:firstLineChars="200"/>
        <w:jc w:val="left"/>
        <w:rPr>
          <w:rFonts w:ascii="宋体" w:cs="宋体"/>
          <w:sz w:val="24"/>
          <w:szCs w:val="24"/>
        </w:rPr>
      </w:pPr>
      <w:r>
        <w:rPr>
          <w:rFonts w:hint="eastAsia" w:ascii="宋体" w:cs="宋体"/>
          <w:sz w:val="24"/>
          <w:szCs w:val="24"/>
        </w:rPr>
        <w:t>根据《公立医院内部控制管理办法》、《行政事业单位内部控制规范（试行）》等要求，对医院内部控制设计有效性和运行有效性进行评价，发现和纠正在经营过程中的错弊现象，分析内部控制存在的缺陷和漏洞，揭示内控风险，评价内部控制成效，促进医院健康持续发展，本次评价对医院进行全面内部控制评价，包含单位层面内部控制和医院业务层面内部控制两个方面：</w:t>
      </w:r>
      <w:r>
        <w:rPr>
          <w:rFonts w:ascii="宋体" w:cs="宋体"/>
          <w:sz w:val="24"/>
          <w:szCs w:val="24"/>
        </w:rPr>
        <w:t xml:space="preserve"> </w:t>
      </w:r>
    </w:p>
    <w:p>
      <w:pPr>
        <w:spacing w:line="420" w:lineRule="exact"/>
        <w:ind w:firstLine="480" w:firstLineChars="200"/>
        <w:jc w:val="left"/>
        <w:rPr>
          <w:rFonts w:ascii="宋体" w:cs="宋体"/>
          <w:sz w:val="24"/>
          <w:szCs w:val="24"/>
        </w:rPr>
      </w:pPr>
      <w:r>
        <w:rPr>
          <w:rFonts w:hint="eastAsia" w:ascii="宋体" w:cs="宋体"/>
          <w:sz w:val="24"/>
          <w:szCs w:val="24"/>
        </w:rPr>
        <w:t>（</w:t>
      </w:r>
      <w:r>
        <w:rPr>
          <w:rFonts w:ascii="宋体" w:cs="宋体"/>
          <w:sz w:val="24"/>
          <w:szCs w:val="24"/>
        </w:rPr>
        <w:t>1</w:t>
      </w:r>
      <w:r>
        <w:rPr>
          <w:rFonts w:hint="eastAsia" w:ascii="宋体" w:cs="宋体"/>
          <w:sz w:val="24"/>
          <w:szCs w:val="24"/>
        </w:rPr>
        <w:t>）单位层面内部控制建设主要包括单位决策机制，内部管理机构设置及职责分工，决策和执行的制衡机制；内部管理制度的健全；关键岗位管理和信息化建设等。</w:t>
      </w:r>
      <w:r>
        <w:rPr>
          <w:rFonts w:ascii="宋体" w:cs="宋体"/>
          <w:sz w:val="24"/>
          <w:szCs w:val="24"/>
        </w:rPr>
        <w:t xml:space="preserve"> </w:t>
      </w:r>
    </w:p>
    <w:p>
      <w:pPr>
        <w:spacing w:line="420" w:lineRule="exact"/>
        <w:ind w:firstLine="480" w:firstLineChars="200"/>
        <w:jc w:val="left"/>
        <w:rPr>
          <w:rFonts w:ascii="宋体"/>
          <w:sz w:val="24"/>
          <w:szCs w:val="24"/>
        </w:rPr>
      </w:pPr>
      <w:r>
        <w:rPr>
          <w:rFonts w:hint="eastAsia" w:ascii="宋体" w:cs="宋体"/>
          <w:sz w:val="24"/>
          <w:szCs w:val="24"/>
        </w:rPr>
        <w:t>（</w:t>
      </w:r>
      <w:r>
        <w:rPr>
          <w:rFonts w:ascii="宋体" w:cs="宋体"/>
          <w:sz w:val="24"/>
          <w:szCs w:val="24"/>
        </w:rPr>
        <w:t>2</w:t>
      </w:r>
      <w:r>
        <w:rPr>
          <w:rFonts w:hint="eastAsia" w:ascii="宋体" w:cs="宋体"/>
          <w:sz w:val="24"/>
          <w:szCs w:val="24"/>
        </w:rPr>
        <w:t>）业务层面的内部控制建设主要如下（包括但不限于）：预算业务内部控制、收支业务内部控制、采购业务内部控制、资产业务内部控制、基本建设业务内部控制、合同业务内部控制、医疗业务内部控制、科研业务内部控制、临床试验业务内部控制、教学业务内部控制、学科共建业务内部控制、互联网医疗业务内部控制、医联体业务内部控制、信息化建设业务内部控制、后勤保障业务内部控制等经济活动，针对相关管理制度、流程、表单、权责、风险、控制措施进行梳理及规范，评估业务层面的具体操作风险，优化业务流程并绘制流程图及流程描述，必要时还需延伸到其他业务活动，完成内部控制体系的评价和监督。</w:t>
      </w:r>
    </w:p>
    <w:p>
      <w:pPr>
        <w:spacing w:line="420" w:lineRule="exact"/>
        <w:ind w:firstLine="480" w:firstLineChars="200"/>
        <w:jc w:val="left"/>
        <w:rPr>
          <w:rFonts w:ascii="宋体"/>
          <w:sz w:val="24"/>
          <w:szCs w:val="24"/>
        </w:rPr>
      </w:pPr>
      <w:r>
        <w:rPr>
          <w:rFonts w:ascii="宋体" w:cs="宋体"/>
          <w:sz w:val="24"/>
          <w:szCs w:val="24"/>
        </w:rPr>
        <w:t>2</w:t>
      </w:r>
      <w:r>
        <w:rPr>
          <w:rFonts w:hint="eastAsia" w:ascii="宋体" w:cs="宋体"/>
          <w:sz w:val="24"/>
          <w:szCs w:val="24"/>
        </w:rPr>
        <w:t>、成果报告：</w:t>
      </w:r>
    </w:p>
    <w:p>
      <w:pPr>
        <w:spacing w:line="420" w:lineRule="exact"/>
        <w:ind w:firstLine="480" w:firstLineChars="200"/>
        <w:jc w:val="left"/>
        <w:rPr>
          <w:rFonts w:ascii="宋体"/>
          <w:sz w:val="24"/>
          <w:szCs w:val="24"/>
        </w:rPr>
      </w:pPr>
      <w:r>
        <w:rPr>
          <w:rFonts w:hint="eastAsia" w:ascii="宋体" w:cs="宋体"/>
          <w:sz w:val="24"/>
          <w:szCs w:val="24"/>
        </w:rPr>
        <w:t>项目执行过程，比选方将为项目进行提供必要支持（如调研安排，资料提供和协调工作）。中选项目组与医院管理层以及有关各业务部门保持持续沟通和讨论，</w:t>
      </w:r>
      <w:r>
        <w:rPr>
          <w:rFonts w:hint="eastAsia" w:ascii="宋体" w:cs="宋体"/>
          <w:sz w:val="24"/>
          <w:szCs w:val="24"/>
          <w:lang w:eastAsia="zh-CN"/>
        </w:rPr>
        <w:t>对医院内部控制建设进行评价以及对存在的问题进行内控建设完善，</w:t>
      </w:r>
      <w:r>
        <w:rPr>
          <w:rFonts w:hint="eastAsia" w:ascii="宋体" w:cs="宋体"/>
          <w:sz w:val="24"/>
          <w:szCs w:val="24"/>
        </w:rPr>
        <w:t>项目完成后，为医院出具经医院审核的《内部控制评价报告》</w:t>
      </w:r>
      <w:r>
        <w:rPr>
          <w:rFonts w:hint="eastAsia" w:ascii="宋体" w:cs="宋体"/>
          <w:sz w:val="24"/>
          <w:szCs w:val="24"/>
          <w:lang w:eastAsia="zh-CN"/>
        </w:rPr>
        <w:t>和内控建设完善</w:t>
      </w:r>
      <w:bookmarkStart w:id="2" w:name="_GoBack"/>
      <w:bookmarkEnd w:id="2"/>
      <w:r>
        <w:rPr>
          <w:rFonts w:hint="eastAsia" w:ascii="宋体" w:cs="宋体"/>
          <w:sz w:val="24"/>
          <w:szCs w:val="24"/>
        </w:rPr>
        <w:t>。</w:t>
      </w:r>
    </w:p>
    <w:p>
      <w:pPr>
        <w:spacing w:line="420" w:lineRule="exact"/>
        <w:ind w:firstLine="480" w:firstLineChars="200"/>
        <w:rPr>
          <w:rFonts w:ascii="宋体"/>
          <w:sz w:val="24"/>
          <w:szCs w:val="24"/>
        </w:rPr>
      </w:pPr>
      <w:r>
        <w:rPr>
          <w:rFonts w:hint="eastAsia" w:ascii="宋体" w:cs="宋体"/>
          <w:sz w:val="24"/>
          <w:szCs w:val="24"/>
        </w:rPr>
        <w:t>（三）质保期：响应人确保所提供的服务必须符合国家及行业内的有关规范要求。质保期</w:t>
      </w:r>
      <w:r>
        <w:rPr>
          <w:rFonts w:ascii="宋体" w:cs="宋体"/>
          <w:sz w:val="24"/>
          <w:szCs w:val="24"/>
        </w:rPr>
        <w:t>1</w:t>
      </w:r>
      <w:r>
        <w:rPr>
          <w:rFonts w:hint="eastAsia" w:ascii="宋体" w:cs="宋体"/>
          <w:sz w:val="24"/>
          <w:szCs w:val="24"/>
        </w:rPr>
        <w:t>年（项目验收合格后，提供一年售后</w:t>
      </w:r>
      <w:r>
        <w:rPr>
          <w:rFonts w:hint="eastAsia" w:ascii="宋体" w:hAnsi="宋体" w:cs="宋体"/>
          <w:sz w:val="24"/>
          <w:szCs w:val="24"/>
          <w:lang w:eastAsia="zh-CN"/>
        </w:rPr>
        <w:t>（咨询）</w:t>
      </w:r>
      <w:r>
        <w:rPr>
          <w:rFonts w:hint="eastAsia" w:ascii="宋体" w:cs="宋体"/>
          <w:sz w:val="24"/>
          <w:szCs w:val="24"/>
        </w:rPr>
        <w:t>服务期）。</w:t>
      </w:r>
    </w:p>
    <w:p>
      <w:pPr>
        <w:spacing w:line="420" w:lineRule="exact"/>
        <w:ind w:firstLine="482" w:firstLineChars="200"/>
        <w:rPr>
          <w:rFonts w:asci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sz w:val="24"/>
          <w:szCs w:val="24"/>
        </w:rPr>
      </w:pPr>
      <w:r>
        <w:rPr>
          <w:rFonts w:hint="eastAsia" w:ascii="宋体" w:hAnsi="宋体" w:cs="宋体"/>
          <w:sz w:val="24"/>
          <w:szCs w:val="24"/>
        </w:rPr>
        <w:t>（一）报价说明：</w:t>
      </w:r>
    </w:p>
    <w:p>
      <w:pPr>
        <w:spacing w:line="420" w:lineRule="exact"/>
        <w:ind w:firstLine="480" w:firstLineChars="200"/>
        <w:rPr>
          <w:rFonts w:ascii="宋体"/>
          <w:sz w:val="24"/>
          <w:szCs w:val="24"/>
        </w:rPr>
      </w:pPr>
      <w:r>
        <w:rPr>
          <w:rFonts w:hint="eastAsia" w:ascii="宋体" w:hAnsi="宋体" w:cs="宋体"/>
          <w:sz w:val="24"/>
          <w:szCs w:val="24"/>
        </w:rPr>
        <w:t>响应文件中仅存在唯一报价。以总价报价的形式进行报价，报价单位为元，报价最多保留小数点后两位。比选报价</w:t>
      </w:r>
      <w:r>
        <w:rPr>
          <w:rFonts w:hint="eastAsia" w:ascii="宋体" w:hAnsi="宋体" w:cs="宋体"/>
          <w:sz w:val="24"/>
          <w:szCs w:val="24"/>
          <w:lang w:eastAsia="zh-CN"/>
        </w:rPr>
        <w:t>为包干费用（含税费等）</w:t>
      </w:r>
      <w:r>
        <w:rPr>
          <w:rFonts w:hint="eastAsia" w:ascii="宋体" w:hAnsi="宋体" w:cs="宋体"/>
          <w:sz w:val="24"/>
          <w:szCs w:val="24"/>
        </w:rPr>
        <w:t>。合同签订后原则上比选人不做费用调整。大写金额与小写金额不一致的，以大写金额为准。</w:t>
      </w:r>
    </w:p>
    <w:p>
      <w:pPr>
        <w:spacing w:line="420" w:lineRule="exact"/>
        <w:ind w:firstLine="480" w:firstLineChars="200"/>
        <w:rPr>
          <w:rFonts w:ascii="宋体"/>
          <w:sz w:val="24"/>
          <w:szCs w:val="24"/>
        </w:rPr>
      </w:pPr>
      <w:r>
        <w:rPr>
          <w:rFonts w:hint="eastAsia" w:ascii="宋体" w:hAnsi="宋体" w:cs="宋体"/>
          <w:sz w:val="24"/>
          <w:szCs w:val="24"/>
        </w:rPr>
        <w:t>（二）限价说明：</w:t>
      </w:r>
    </w:p>
    <w:p>
      <w:pPr>
        <w:spacing w:line="420" w:lineRule="exact"/>
        <w:ind w:firstLine="480" w:firstLineChars="200"/>
        <w:rPr>
          <w:rFonts w:ascii="宋体"/>
          <w:sz w:val="24"/>
          <w:szCs w:val="24"/>
        </w:rPr>
      </w:pPr>
      <w:r>
        <w:rPr>
          <w:rFonts w:hint="eastAsia" w:ascii="宋体" w:hAnsi="宋体" w:cs="宋体"/>
          <w:sz w:val="24"/>
          <w:szCs w:val="24"/>
        </w:rPr>
        <w:t>本次物资采购最高限价为</w:t>
      </w:r>
      <w:r>
        <w:rPr>
          <w:rFonts w:ascii="宋体" w:hAnsi="宋体" w:cs="宋体"/>
          <w:sz w:val="24"/>
          <w:szCs w:val="24"/>
          <w:u w:val="single"/>
        </w:rPr>
        <w:t xml:space="preserve">  150000 </w:t>
      </w:r>
      <w:r>
        <w:rPr>
          <w:rFonts w:hint="eastAsia" w:ascii="宋体" w:hAnsi="宋体" w:cs="宋体"/>
          <w:sz w:val="24"/>
          <w:szCs w:val="24"/>
        </w:rPr>
        <w:t>元，响应人的报价不得超过对应最高限价，否则，视为无效。</w:t>
      </w:r>
    </w:p>
    <w:p>
      <w:pPr>
        <w:spacing w:line="420" w:lineRule="exact"/>
        <w:ind w:firstLine="480" w:firstLineChars="200"/>
        <w:rPr>
          <w:rFonts w:ascii="宋体"/>
          <w:sz w:val="24"/>
          <w:szCs w:val="24"/>
        </w:rPr>
      </w:pPr>
      <w:r>
        <w:rPr>
          <w:rFonts w:hint="eastAsia" w:ascii="宋体" w:hAnsi="宋体" w:cs="宋体"/>
          <w:sz w:val="24"/>
          <w:szCs w:val="24"/>
        </w:rPr>
        <w:t>（三）评分说明：</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只有资格审核及符合性审核合格的响应人才能继续参与评审。</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）资格审核</w:t>
      </w:r>
    </w:p>
    <w:p>
      <w:pPr>
        <w:spacing w:line="420" w:lineRule="exact"/>
        <w:ind w:firstLine="480" w:firstLineChars="200"/>
        <w:rPr>
          <w:rFonts w:ascii="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b/>
                <w:bCs/>
                <w:kern w:val="0"/>
              </w:rPr>
            </w:pPr>
            <w:r>
              <w:rPr>
                <w:rFonts w:hint="eastAsia" w:ascii="宋体" w:hAnsi="宋体" w:cs="宋体"/>
                <w:b/>
                <w:bCs/>
                <w:kern w:val="0"/>
              </w:rPr>
              <w:t>序号</w:t>
            </w:r>
          </w:p>
        </w:tc>
        <w:tc>
          <w:tcPr>
            <w:tcW w:w="3255" w:type="dxa"/>
            <w:gridSpan w:val="2"/>
            <w:vAlign w:val="center"/>
          </w:tcPr>
          <w:p>
            <w:pPr>
              <w:spacing w:line="320" w:lineRule="exact"/>
              <w:jc w:val="center"/>
              <w:rPr>
                <w:rFonts w:ascii="宋体"/>
                <w:b/>
                <w:bCs/>
                <w:kern w:val="0"/>
              </w:rPr>
            </w:pPr>
            <w:r>
              <w:rPr>
                <w:rFonts w:hint="eastAsia" w:ascii="宋体" w:hAnsi="宋体" w:cs="宋体"/>
                <w:b/>
                <w:bCs/>
                <w:kern w:val="0"/>
              </w:rPr>
              <w:t>检查因素</w:t>
            </w:r>
          </w:p>
        </w:tc>
        <w:tc>
          <w:tcPr>
            <w:tcW w:w="5490" w:type="dxa"/>
            <w:vAlign w:val="center"/>
          </w:tcPr>
          <w:p>
            <w:pPr>
              <w:spacing w:line="320" w:lineRule="exact"/>
              <w:jc w:val="center"/>
              <w:rPr>
                <w:rFonts w:ascii="宋体"/>
                <w:b/>
                <w:bCs/>
                <w:kern w:val="0"/>
              </w:rPr>
            </w:pPr>
            <w:r>
              <w:rPr>
                <w:rFonts w:hint="eastAsia" w:ascii="宋体" w:hAnsi="宋体" w:cs="宋体"/>
                <w:b/>
                <w:bCs/>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宋体"/>
              </w:rPr>
            </w:pPr>
            <w:r>
              <w:rPr>
                <w:rFonts w:ascii="宋体" w:hAnsi="宋体" w:cs="宋体"/>
              </w:rPr>
              <w:t>1</w:t>
            </w:r>
          </w:p>
        </w:tc>
        <w:tc>
          <w:tcPr>
            <w:tcW w:w="709" w:type="dxa"/>
            <w:vMerge w:val="restart"/>
            <w:vAlign w:val="center"/>
          </w:tcPr>
          <w:p>
            <w:pPr>
              <w:spacing w:line="320" w:lineRule="exact"/>
              <w:rPr>
                <w:rFonts w:ascii="宋体"/>
                <w:lang w:val="zh-CN"/>
              </w:rPr>
            </w:pPr>
            <w:r>
              <w:rPr>
                <w:rFonts w:hint="eastAsia" w:ascii="宋体" w:hAnsi="宋体" w:cs="宋体"/>
                <w:lang w:val="zh-CN"/>
              </w:rPr>
              <w:t>响应人应符合的基本资格条件</w:t>
            </w: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1</w:t>
            </w:r>
            <w:r>
              <w:rPr>
                <w:rFonts w:hint="eastAsia" w:ascii="宋体" w:hAnsi="宋体" w:cs="宋体"/>
              </w:rPr>
              <w:t>）具有独立承担民事责任的能力</w:t>
            </w:r>
          </w:p>
        </w:tc>
        <w:tc>
          <w:tcPr>
            <w:tcW w:w="5490" w:type="dxa"/>
            <w:vAlign w:val="center"/>
          </w:tcPr>
          <w:p>
            <w:pPr>
              <w:spacing w:line="320" w:lineRule="exact"/>
              <w:rPr>
                <w:rFonts w:ascii="宋体"/>
              </w:rPr>
            </w:pPr>
            <w:r>
              <w:rPr>
                <w:rFonts w:hint="eastAsia" w:ascii="宋体" w:hAnsi="宋体" w:cs="宋体"/>
              </w:rPr>
              <w:t>响应人法人营业执照（副本）或事业单位法人证书（副本）或个体工商户营业执照或有效的自然人身份证明；</w:t>
            </w:r>
            <w:r>
              <w:rPr>
                <w:rFonts w:ascii="宋体" w:hAnsi="宋体" w:cs="宋体"/>
              </w:rPr>
              <w:t xml:space="preserve"> </w:t>
            </w:r>
          </w:p>
          <w:p>
            <w:pPr>
              <w:spacing w:line="320" w:lineRule="exact"/>
              <w:rPr>
                <w:rFonts w:ascii="宋体"/>
              </w:rPr>
            </w:pPr>
            <w:r>
              <w:rPr>
                <w:rFonts w:hint="eastAsia" w:ascii="宋体" w:hAnsi="宋体" w:cs="宋体"/>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lang w:val="zh-CN"/>
              </w:rPr>
              <w:t>（</w:t>
            </w:r>
            <w:r>
              <w:rPr>
                <w:rFonts w:ascii="宋体" w:hAnsi="宋体" w:cs="宋体"/>
                <w:lang w:val="zh-CN"/>
              </w:rPr>
              <w:t>2</w:t>
            </w:r>
            <w:r>
              <w:rPr>
                <w:rFonts w:hint="eastAsia" w:ascii="宋体" w:hAnsi="宋体" w:cs="宋体"/>
                <w:lang w:val="zh-CN"/>
              </w:rPr>
              <w:t>）具有健全的财务会计制度、具有履行合同所必须的专业技术能力、具有履行合同所必需的设备和专业技术能力</w:t>
            </w:r>
          </w:p>
        </w:tc>
        <w:tc>
          <w:tcPr>
            <w:tcW w:w="5490" w:type="dxa"/>
            <w:vAlign w:val="center"/>
          </w:tcPr>
          <w:p>
            <w:pPr>
              <w:spacing w:line="320" w:lineRule="exact"/>
              <w:rPr>
                <w:rFonts w:asci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rPr>
              <w:t>（</w:t>
            </w:r>
            <w:r>
              <w:rPr>
                <w:rFonts w:ascii="宋体" w:hAnsi="宋体" w:cs="宋体"/>
              </w:rPr>
              <w:t>3</w:t>
            </w:r>
            <w:r>
              <w:rPr>
                <w:rFonts w:hint="eastAsia" w:ascii="宋体" w:hAnsi="宋体" w:cs="宋体"/>
              </w:rPr>
              <w:t>）参加政府采购活动前三年内，在经营活动中没有重大违法记录</w:t>
            </w:r>
          </w:p>
        </w:tc>
        <w:tc>
          <w:tcPr>
            <w:tcW w:w="5490" w:type="dxa"/>
            <w:vAlign w:val="center"/>
          </w:tcPr>
          <w:p>
            <w:pPr>
              <w:spacing w:line="320" w:lineRule="exact"/>
              <w:rPr>
                <w:rFonts w:ascii="宋体"/>
              </w:rPr>
            </w:pPr>
            <w:r>
              <w:rPr>
                <w:rFonts w:ascii="宋体" w:hAnsi="宋体" w:cs="宋体"/>
              </w:rPr>
              <w:t>1.</w:t>
            </w:r>
            <w:r>
              <w:rPr>
                <w:rFonts w:hint="eastAsia" w:ascii="宋体" w:hAnsi="宋体" w:cs="宋体"/>
              </w:rPr>
              <w:t>响应人提供书面声明（见格式文件）；</w:t>
            </w:r>
          </w:p>
          <w:p>
            <w:pPr>
              <w:spacing w:line="320" w:lineRule="exact"/>
              <w:jc w:val="left"/>
              <w:rPr>
                <w:rFonts w:ascii="宋体"/>
                <w:b/>
                <w:bCs/>
              </w:rPr>
            </w:pPr>
            <w:r>
              <w:rPr>
                <w:rFonts w:ascii="宋体" w:hAnsi="宋体" w:cs="宋体"/>
              </w:rPr>
              <w:t>2.</w:t>
            </w:r>
            <w:r>
              <w:rPr>
                <w:rFonts w:hint="eastAsia" w:ascii="宋体" w:hAnsi="宋体" w:cs="宋体"/>
              </w:rPr>
              <w:t>采购人将通过</w:t>
            </w:r>
            <w:r>
              <w:rPr>
                <w:rFonts w:ascii="宋体" w:hAnsi="宋体" w:cs="宋体"/>
              </w:rPr>
              <w:t xml:space="preserve"> </w:t>
            </w:r>
            <w:r>
              <w:rPr>
                <w:rFonts w:hint="eastAsia" w:ascii="宋体" w:hAnsi="宋体" w:cs="宋体"/>
              </w:rPr>
              <w:t>“信用中国”网站</w:t>
            </w:r>
            <w:r>
              <w:rPr>
                <w:rFonts w:ascii="宋体" w:hAnsi="宋体" w:cs="宋体"/>
              </w:rPr>
              <w:t>(www.creditchina.gov.cn)</w:t>
            </w:r>
            <w:r>
              <w:rPr>
                <w:rFonts w:hint="eastAsia" w:ascii="宋体" w:hAnsi="宋体" w:cs="宋体"/>
              </w:rPr>
              <w:t>、</w:t>
            </w:r>
            <w:r>
              <w:rPr>
                <w:rFonts w:ascii="宋体" w:hAnsi="宋体" w:cs="宋体"/>
              </w:rPr>
              <w:t>"</w:t>
            </w:r>
            <w:r>
              <w:rPr>
                <w:rFonts w:hint="eastAsia" w:ascii="宋体" w:hAnsi="宋体" w:cs="宋体"/>
              </w:rPr>
              <w:t>中国政府采购网</w:t>
            </w:r>
            <w:r>
              <w:rPr>
                <w:rFonts w:ascii="宋体" w:hAnsi="宋体" w:cs="宋体"/>
              </w:rPr>
              <w:t>"(www.ccgp.gov.cn)</w:t>
            </w:r>
            <w:r>
              <w:rPr>
                <w:rFonts w:hint="eastAsia" w:ascii="宋体" w:hAnsi="宋体" w:cs="宋体"/>
              </w:rPr>
              <w:t>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rPr>
            </w:pP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4</w:t>
            </w:r>
            <w:r>
              <w:rPr>
                <w:rFonts w:hint="eastAsia" w:ascii="宋体" w:hAnsi="宋体" w:cs="宋体"/>
              </w:rPr>
              <w:t>）法律、行政法规规定的其他条件</w:t>
            </w:r>
          </w:p>
        </w:tc>
        <w:tc>
          <w:tcPr>
            <w:tcW w:w="5490" w:type="dxa"/>
            <w:vAlign w:val="center"/>
          </w:tcPr>
          <w:p>
            <w:pPr>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rPr>
            </w:pPr>
            <w:r>
              <w:rPr>
                <w:rFonts w:ascii="宋体" w:hAnsi="宋体" w:cs="宋体"/>
              </w:rPr>
              <w:t>2</w:t>
            </w:r>
          </w:p>
        </w:tc>
        <w:tc>
          <w:tcPr>
            <w:tcW w:w="3255" w:type="dxa"/>
            <w:gridSpan w:val="2"/>
            <w:vAlign w:val="center"/>
          </w:tcPr>
          <w:p>
            <w:pPr>
              <w:spacing w:line="320" w:lineRule="exact"/>
              <w:rPr>
                <w:rFonts w:ascii="宋体"/>
              </w:rPr>
            </w:pPr>
            <w:r>
              <w:rPr>
                <w:rFonts w:hint="eastAsia" w:ascii="宋体" w:hAnsi="宋体" w:cs="宋体"/>
              </w:rPr>
              <w:t>其它资格条件</w:t>
            </w:r>
          </w:p>
        </w:tc>
        <w:tc>
          <w:tcPr>
            <w:tcW w:w="5490" w:type="dxa"/>
            <w:vAlign w:val="center"/>
          </w:tcPr>
          <w:p>
            <w:pPr>
              <w:spacing w:line="320" w:lineRule="exact"/>
              <w:rPr>
                <w:rFonts w:ascii="宋体"/>
              </w:rPr>
            </w:pPr>
            <w:r>
              <w:rPr>
                <w:rFonts w:ascii="宋体" w:hAnsi="宋体" w:cs="宋体"/>
              </w:rPr>
              <w:t>1.</w:t>
            </w:r>
            <w:r>
              <w:rPr>
                <w:rFonts w:hint="eastAsia" w:ascii="宋体" w:hAnsi="宋体" w:cs="宋体"/>
              </w:rPr>
              <w:t>项目负责人为注册会计师，具有近五年做过二甲及以上公立医院内控全面评价服务经历。</w:t>
            </w:r>
          </w:p>
          <w:p>
            <w:pPr>
              <w:spacing w:line="320" w:lineRule="exact"/>
              <w:rPr>
                <w:rFonts w:ascii="宋体"/>
              </w:rPr>
            </w:pPr>
            <w:r>
              <w:rPr>
                <w:rFonts w:ascii="宋体" w:hAnsi="宋体" w:cs="宋体"/>
              </w:rPr>
              <w:t>2.</w:t>
            </w:r>
            <w:r>
              <w:rPr>
                <w:rFonts w:hint="eastAsia" w:ascii="宋体" w:hAnsi="宋体" w:cs="宋体"/>
              </w:rPr>
              <w:t>不接受联合体参与。</w:t>
            </w:r>
          </w:p>
        </w:tc>
      </w:tr>
    </w:tbl>
    <w:p>
      <w:pPr>
        <w:snapToGrid w:val="0"/>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）符合性审查</w:t>
      </w:r>
    </w:p>
    <w:p>
      <w:pPr>
        <w:snapToGrid w:val="0"/>
        <w:spacing w:line="420" w:lineRule="exact"/>
        <w:ind w:firstLine="480" w:firstLineChars="200"/>
        <w:rPr>
          <w:rFonts w:ascii="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b/>
                <w:bCs/>
                <w:kern w:val="0"/>
              </w:rPr>
            </w:pPr>
            <w:r>
              <w:rPr>
                <w:rFonts w:hint="eastAsia" w:ascii="宋体" w:hAnsi="宋体" w:cs="宋体"/>
                <w:b/>
                <w:bCs/>
                <w:kern w:val="0"/>
              </w:rPr>
              <w:t>序号</w:t>
            </w:r>
          </w:p>
        </w:tc>
        <w:tc>
          <w:tcPr>
            <w:tcW w:w="3546" w:type="dxa"/>
            <w:gridSpan w:val="2"/>
            <w:vAlign w:val="center"/>
          </w:tcPr>
          <w:p>
            <w:pPr>
              <w:spacing w:line="320" w:lineRule="exact"/>
              <w:jc w:val="center"/>
              <w:rPr>
                <w:rFonts w:ascii="宋体"/>
                <w:b/>
                <w:bCs/>
                <w:kern w:val="0"/>
              </w:rPr>
            </w:pPr>
            <w:r>
              <w:rPr>
                <w:rFonts w:hint="eastAsia" w:ascii="宋体" w:hAnsi="宋体" w:cs="宋体"/>
                <w:b/>
                <w:bCs/>
                <w:kern w:val="0"/>
              </w:rPr>
              <w:t>评审因素</w:t>
            </w:r>
          </w:p>
        </w:tc>
        <w:tc>
          <w:tcPr>
            <w:tcW w:w="5108" w:type="dxa"/>
            <w:vAlign w:val="center"/>
          </w:tcPr>
          <w:p>
            <w:pPr>
              <w:spacing w:line="320" w:lineRule="exact"/>
              <w:jc w:val="center"/>
              <w:rPr>
                <w:rFonts w:ascii="宋体"/>
                <w:b/>
                <w:bCs/>
                <w:kern w:val="0"/>
              </w:rPr>
            </w:pPr>
            <w:r>
              <w:rPr>
                <w:rFonts w:hint="eastAsia" w:ascii="宋体" w:hAnsi="宋体" w:cs="宋体"/>
                <w:b/>
                <w:bCs/>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ascii="宋体"/>
                <w:kern w:val="0"/>
              </w:rPr>
            </w:pPr>
            <w:r>
              <w:rPr>
                <w:rFonts w:ascii="宋体" w:hAnsi="宋体" w:cs="宋体"/>
                <w:kern w:val="0"/>
              </w:rPr>
              <w:t>1</w:t>
            </w:r>
          </w:p>
        </w:tc>
        <w:tc>
          <w:tcPr>
            <w:tcW w:w="1562" w:type="dxa"/>
            <w:vMerge w:val="restart"/>
            <w:vAlign w:val="center"/>
          </w:tcPr>
          <w:p>
            <w:pPr>
              <w:spacing w:line="320" w:lineRule="exact"/>
              <w:rPr>
                <w:rFonts w:ascii="宋体"/>
                <w:kern w:val="0"/>
              </w:rPr>
            </w:pPr>
            <w:r>
              <w:rPr>
                <w:rFonts w:hint="eastAsia" w:ascii="宋体" w:hAnsi="宋体" w:cs="宋体"/>
                <w:kern w:val="0"/>
              </w:rPr>
              <w:t>有效性审查</w:t>
            </w:r>
          </w:p>
        </w:tc>
        <w:tc>
          <w:tcPr>
            <w:tcW w:w="1984" w:type="dxa"/>
            <w:vAlign w:val="center"/>
          </w:tcPr>
          <w:p>
            <w:pPr>
              <w:spacing w:line="320" w:lineRule="exact"/>
              <w:rPr>
                <w:rFonts w:ascii="宋体"/>
                <w:kern w:val="0"/>
              </w:rPr>
            </w:pPr>
            <w:r>
              <w:rPr>
                <w:rFonts w:hint="eastAsia" w:ascii="宋体" w:hAnsi="宋体" w:cs="宋体"/>
              </w:rPr>
              <w:t>响应文件签署</w:t>
            </w:r>
          </w:p>
        </w:tc>
        <w:tc>
          <w:tcPr>
            <w:tcW w:w="5108" w:type="dxa"/>
            <w:vAlign w:val="center"/>
          </w:tcPr>
          <w:p>
            <w:pPr>
              <w:spacing w:line="320" w:lineRule="exact"/>
              <w:rPr>
                <w:rFonts w:ascii="宋体"/>
                <w:kern w:val="0"/>
              </w:rPr>
            </w:pPr>
            <w:r>
              <w:rPr>
                <w:rFonts w:hint="eastAsia" w:ascii="宋体" w:hAnsi="宋体" w:cs="宋体"/>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lang w:val="zh-CN"/>
              </w:rPr>
              <w:t>响应方案</w:t>
            </w:r>
          </w:p>
        </w:tc>
        <w:tc>
          <w:tcPr>
            <w:tcW w:w="5108" w:type="dxa"/>
            <w:vAlign w:val="center"/>
          </w:tcPr>
          <w:p>
            <w:pPr>
              <w:spacing w:line="320" w:lineRule="exact"/>
              <w:rPr>
                <w:rFonts w:ascii="宋体"/>
                <w:kern w:val="0"/>
              </w:rPr>
            </w:pPr>
            <w:r>
              <w:rPr>
                <w:rFonts w:hint="eastAsia" w:ascii="宋体" w:hAnsi="宋体" w:cs="宋体"/>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rPr>
              <w:t>报价唯一</w:t>
            </w:r>
          </w:p>
        </w:tc>
        <w:tc>
          <w:tcPr>
            <w:tcW w:w="5108" w:type="dxa"/>
            <w:vAlign w:val="center"/>
          </w:tcPr>
          <w:p>
            <w:pPr>
              <w:spacing w:line="320" w:lineRule="exact"/>
              <w:rPr>
                <w:rFonts w:ascii="宋体"/>
                <w:kern w:val="0"/>
              </w:rPr>
            </w:pPr>
            <w:r>
              <w:rPr>
                <w:rFonts w:hint="eastAsia" w:ascii="宋体" w:hAnsi="宋体" w:cs="宋体"/>
                <w:lang w:val="zh-CN"/>
              </w:rPr>
              <w:t>只能在最高限价内报价，</w:t>
            </w:r>
            <w:r>
              <w:rPr>
                <w:rFonts w:hint="eastAsia" w:ascii="宋体" w:hAnsi="宋体" w:cs="宋体"/>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kern w:val="0"/>
              </w:rPr>
            </w:pPr>
            <w:r>
              <w:rPr>
                <w:rFonts w:ascii="宋体" w:hAnsi="宋体" w:cs="宋体"/>
                <w:kern w:val="0"/>
              </w:rPr>
              <w:t>2</w:t>
            </w:r>
          </w:p>
        </w:tc>
        <w:tc>
          <w:tcPr>
            <w:tcW w:w="1562" w:type="dxa"/>
            <w:vAlign w:val="center"/>
          </w:tcPr>
          <w:p>
            <w:pPr>
              <w:spacing w:line="320" w:lineRule="exact"/>
              <w:rPr>
                <w:rFonts w:ascii="宋体"/>
                <w:kern w:val="0"/>
              </w:rPr>
            </w:pPr>
            <w:r>
              <w:rPr>
                <w:rFonts w:hint="eastAsia" w:ascii="宋体" w:hAnsi="宋体" w:cs="宋体"/>
                <w:kern w:val="0"/>
              </w:rPr>
              <w:t>完整性审查</w:t>
            </w:r>
          </w:p>
        </w:tc>
        <w:tc>
          <w:tcPr>
            <w:tcW w:w="1984" w:type="dxa"/>
            <w:vAlign w:val="center"/>
          </w:tcPr>
          <w:p>
            <w:pPr>
              <w:spacing w:line="320" w:lineRule="exact"/>
              <w:rPr>
                <w:rFonts w:ascii="宋体"/>
                <w:kern w:val="0"/>
              </w:rPr>
            </w:pPr>
            <w:r>
              <w:rPr>
                <w:rFonts w:hint="eastAsia" w:ascii="宋体" w:hAnsi="宋体" w:cs="宋体"/>
                <w:lang w:val="zh-CN"/>
              </w:rPr>
              <w:t>响应文件份数</w:t>
            </w:r>
          </w:p>
        </w:tc>
        <w:tc>
          <w:tcPr>
            <w:tcW w:w="5108" w:type="dxa"/>
            <w:vAlign w:val="center"/>
          </w:tcPr>
          <w:p>
            <w:pPr>
              <w:spacing w:line="320" w:lineRule="exact"/>
              <w:rPr>
                <w:rFonts w:ascii="宋体"/>
                <w:kern w:val="0"/>
              </w:rPr>
            </w:pPr>
            <w:r>
              <w:rPr>
                <w:rFonts w:hint="eastAsia" w:ascii="宋体" w:hAnsi="宋体" w:cs="宋体"/>
              </w:rPr>
              <w:t>响应</w:t>
            </w:r>
            <w:r>
              <w:rPr>
                <w:rFonts w:hint="eastAsia" w:ascii="宋体" w:hAnsi="宋体" w:cs="宋体"/>
                <w:lang w:val="zh-CN"/>
              </w:rPr>
              <w:t>文件符合比选文件要求。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5" w:type="dxa"/>
            <w:vAlign w:val="center"/>
          </w:tcPr>
          <w:p>
            <w:pPr>
              <w:spacing w:line="320" w:lineRule="exact"/>
              <w:jc w:val="center"/>
              <w:rPr>
                <w:rFonts w:ascii="宋体"/>
                <w:kern w:val="0"/>
              </w:rPr>
            </w:pPr>
            <w:r>
              <w:rPr>
                <w:rFonts w:ascii="宋体" w:hAnsi="宋体" w:cs="宋体"/>
                <w:kern w:val="0"/>
              </w:rPr>
              <w:t>3</w:t>
            </w:r>
          </w:p>
        </w:tc>
        <w:tc>
          <w:tcPr>
            <w:tcW w:w="1562" w:type="dxa"/>
            <w:vAlign w:val="center"/>
          </w:tcPr>
          <w:p>
            <w:pPr>
              <w:spacing w:line="320" w:lineRule="exact"/>
              <w:rPr>
                <w:rFonts w:ascii="宋体"/>
                <w:kern w:val="0"/>
              </w:rPr>
            </w:pPr>
            <w:r>
              <w:rPr>
                <w:rFonts w:hint="eastAsia" w:ascii="宋体" w:hAnsi="宋体" w:cs="宋体"/>
                <w:kern w:val="0"/>
              </w:rPr>
              <w:t>技术要求及质保期要求</w:t>
            </w:r>
          </w:p>
        </w:tc>
        <w:tc>
          <w:tcPr>
            <w:tcW w:w="1984" w:type="dxa"/>
            <w:vAlign w:val="center"/>
          </w:tcPr>
          <w:p>
            <w:pPr>
              <w:spacing w:line="320" w:lineRule="exact"/>
              <w:rPr>
                <w:rFonts w:ascii="宋体"/>
                <w:lang w:val="zh-CN"/>
              </w:rPr>
            </w:pPr>
            <w:r>
              <w:rPr>
                <w:rFonts w:hint="eastAsia" w:ascii="宋体" w:hAnsi="宋体" w:cs="宋体"/>
                <w:lang w:val="zh-CN"/>
              </w:rPr>
              <w:t>响应文件内容</w:t>
            </w:r>
          </w:p>
        </w:tc>
        <w:tc>
          <w:tcPr>
            <w:tcW w:w="5108" w:type="dxa"/>
            <w:vAlign w:val="center"/>
          </w:tcPr>
          <w:p>
            <w:pPr>
              <w:spacing w:line="320" w:lineRule="exact"/>
              <w:rPr>
                <w:rFonts w:ascii="宋体"/>
              </w:rPr>
            </w:pPr>
            <w:r>
              <w:rPr>
                <w:rFonts w:hint="eastAsia" w:ascii="宋体" w:hAnsi="宋体" w:cs="宋体"/>
              </w:rPr>
              <w:t>响应比选文件中</w:t>
            </w:r>
            <w:r>
              <w:rPr>
                <w:rFonts w:hint="eastAsia" w:ascii="宋体" w:hAnsi="宋体" w:cs="宋体"/>
                <w:kern w:val="0"/>
              </w:rPr>
              <w:t>技术要求及质保期要求</w:t>
            </w:r>
            <w:r>
              <w:rPr>
                <w:rFonts w:hint="eastAsia" w:ascii="宋体" w:hAnsi="宋体" w:cs="宋体"/>
              </w:rPr>
              <w:t>的部分</w:t>
            </w:r>
          </w:p>
        </w:tc>
      </w:tr>
    </w:tbl>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原则：综合评分法。满足比选文件要求，按最终评分高低进行排序推荐中选人，若得分相同，则以商务部分得分高低排序，商务部分得分也一样的，则由评审小组投票决定。凡参加本次比选的响应人均被视为接受上述项目的比选条款。</w:t>
      </w:r>
    </w:p>
    <w:p>
      <w:pPr>
        <w:spacing w:line="420" w:lineRule="exact"/>
        <w:ind w:firstLine="480" w:firstLineChars="200"/>
        <w:rPr>
          <w:rFonts w:ascii="宋体"/>
          <w:color w:val="262626"/>
          <w:sz w:val="24"/>
          <w:szCs w:val="24"/>
        </w:rPr>
      </w:pPr>
      <w:r>
        <w:rPr>
          <w:rFonts w:ascii="宋体" w:hAnsi="宋体" w:cs="宋体"/>
          <w:color w:val="262626"/>
          <w:sz w:val="24"/>
          <w:szCs w:val="24"/>
        </w:rPr>
        <w:t>3</w:t>
      </w:r>
      <w:r>
        <w:rPr>
          <w:rFonts w:hint="eastAsia" w:ascii="宋体" w:hAnsi="宋体" w:cs="宋体"/>
          <w:color w:val="262626"/>
          <w:sz w:val="24"/>
          <w:szCs w:val="24"/>
        </w:rPr>
        <w:t>．评分说明：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378"/>
        <w:gridCol w:w="401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jc w:val="center"/>
              <w:rPr>
                <w:rFonts w:ascii="宋体"/>
              </w:rPr>
            </w:pPr>
            <w:r>
              <w:rPr>
                <w:rFonts w:hint="eastAsia" w:ascii="宋体" w:hAnsi="宋体" w:cs="宋体"/>
              </w:rPr>
              <w:t>评审因素</w:t>
            </w:r>
          </w:p>
        </w:tc>
        <w:tc>
          <w:tcPr>
            <w:tcW w:w="7108" w:type="dxa"/>
            <w:gridSpan w:val="3"/>
            <w:vAlign w:val="center"/>
          </w:tcPr>
          <w:p>
            <w:pPr>
              <w:spacing w:line="320" w:lineRule="exact"/>
              <w:jc w:val="center"/>
              <w:rPr>
                <w:rFonts w:ascii="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分值构成</w:t>
            </w:r>
          </w:p>
          <w:p>
            <w:pPr>
              <w:spacing w:line="320" w:lineRule="exact"/>
              <w:rPr>
                <w:rFonts w:ascii="宋体"/>
              </w:rPr>
            </w:pPr>
            <w:r>
              <w:rPr>
                <w:rFonts w:ascii="宋体" w:hAnsi="宋体" w:cs="宋体"/>
              </w:rPr>
              <w:t>(</w:t>
            </w:r>
            <w:r>
              <w:rPr>
                <w:rFonts w:hint="eastAsia" w:ascii="宋体" w:hAnsi="宋体" w:cs="宋体"/>
              </w:rPr>
              <w:t>总分</w:t>
            </w:r>
            <w:r>
              <w:rPr>
                <w:rFonts w:ascii="宋体" w:hAnsi="宋体" w:cs="宋体"/>
              </w:rPr>
              <w:t>1OO</w:t>
            </w:r>
            <w:r>
              <w:rPr>
                <w:rFonts w:hint="eastAsia" w:ascii="宋体" w:hAnsi="宋体" w:cs="宋体"/>
              </w:rPr>
              <w:t>分</w:t>
            </w:r>
            <w:r>
              <w:rPr>
                <w:rFonts w:ascii="宋体" w:hAnsi="宋体" w:cs="宋体"/>
              </w:rPr>
              <w:t>)</w:t>
            </w:r>
          </w:p>
        </w:tc>
        <w:tc>
          <w:tcPr>
            <w:tcW w:w="7108" w:type="dxa"/>
            <w:gridSpan w:val="3"/>
            <w:vAlign w:val="center"/>
          </w:tcPr>
          <w:p>
            <w:pPr>
              <w:spacing w:line="320" w:lineRule="exact"/>
              <w:rPr>
                <w:rFonts w:ascii="宋体"/>
              </w:rPr>
            </w:pPr>
            <w:r>
              <w:rPr>
                <w:rFonts w:hint="eastAsia" w:ascii="宋体" w:hAnsi="宋体" w:cs="宋体"/>
              </w:rPr>
              <w:t>比选总报价得分</w:t>
            </w:r>
            <w:r>
              <w:rPr>
                <w:rFonts w:ascii="宋体" w:hAnsi="宋体" w:cs="宋体"/>
                <w:u w:val="single"/>
              </w:rPr>
              <w:t xml:space="preserve">  50  </w:t>
            </w:r>
            <w:r>
              <w:rPr>
                <w:rFonts w:hint="eastAsia" w:ascii="宋体" w:hAnsi="宋体" w:cs="宋体"/>
              </w:rPr>
              <w:t>分；</w:t>
            </w:r>
          </w:p>
          <w:p>
            <w:pPr>
              <w:spacing w:line="320" w:lineRule="exact"/>
              <w:rPr>
                <w:rFonts w:ascii="宋体"/>
              </w:rPr>
            </w:pPr>
            <w:r>
              <w:rPr>
                <w:rFonts w:hint="eastAsia" w:ascii="宋体" w:hAnsi="宋体" w:cs="宋体"/>
              </w:rPr>
              <w:t>商务部分得分</w:t>
            </w:r>
            <w:r>
              <w:rPr>
                <w:rFonts w:ascii="宋体" w:hAnsi="宋体" w:cs="宋体"/>
                <w:u w:val="single"/>
              </w:rPr>
              <w:t xml:space="preserve">  50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评审基准价计算方法</w:t>
            </w:r>
          </w:p>
        </w:tc>
        <w:tc>
          <w:tcPr>
            <w:tcW w:w="7108" w:type="dxa"/>
            <w:gridSpan w:val="3"/>
            <w:vAlign w:val="center"/>
          </w:tcPr>
          <w:p>
            <w:pPr>
              <w:spacing w:line="320" w:lineRule="exact"/>
              <w:rPr>
                <w:rFonts w:ascii="宋体"/>
              </w:rPr>
            </w:pPr>
            <w:r>
              <w:rPr>
                <w:rFonts w:hint="eastAsia" w:ascii="宋体" w:hAnsi="宋体" w:cs="宋体"/>
              </w:rPr>
              <w:t>有效的比选报价中的算数平均值为评审基准价</w:t>
            </w:r>
            <w:r>
              <w:rPr>
                <w:rFonts w:ascii="宋体"/>
              </w:rPr>
              <w:br w:type="textWrapping"/>
            </w:r>
            <w:r>
              <w:rPr>
                <w:rFonts w:hint="eastAsia" w:ascii="宋体" w:hAnsi="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比选报价得分（</w:t>
            </w:r>
            <w:r>
              <w:rPr>
                <w:rFonts w:ascii="宋体" w:hAnsi="宋体" w:cs="宋体"/>
              </w:rPr>
              <w:t>A</w:t>
            </w:r>
            <w:r>
              <w:rPr>
                <w:rFonts w:hint="eastAsia" w:ascii="宋体" w:hAnsi="宋体" w:cs="宋体"/>
              </w:rPr>
              <w:t>）</w:t>
            </w:r>
          </w:p>
        </w:tc>
        <w:tc>
          <w:tcPr>
            <w:tcW w:w="7108" w:type="dxa"/>
            <w:gridSpan w:val="3"/>
            <w:vAlign w:val="center"/>
          </w:tcPr>
          <w:p>
            <w:pPr>
              <w:pStyle w:val="2"/>
              <w:jc w:val="left"/>
              <w:rPr>
                <w:rFonts w:cs="Times New Roman"/>
                <w:sz w:val="21"/>
                <w:szCs w:val="21"/>
              </w:rPr>
            </w:pPr>
            <w:r>
              <w:rPr>
                <w:rFonts w:hint="eastAsia"/>
                <w:sz w:val="21"/>
                <w:szCs w:val="21"/>
              </w:rPr>
              <w:t>比选报价得分</w:t>
            </w:r>
            <w:r>
              <w:rPr>
                <w:sz w:val="21"/>
                <w:szCs w:val="21"/>
              </w:rPr>
              <w:t>=</w:t>
            </w:r>
            <w:r>
              <w:rPr>
                <w:rFonts w:cs="Times New Roman"/>
                <w:position w:val="-32"/>
                <w:sz w:val="21"/>
                <w:szCs w:val="21"/>
              </w:rPr>
              <w:object>
                <v:shape id="_x0000_i1025" o:spt="75" type="#_x0000_t75" style="height:38.25pt;width:212.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rPr>
                <w:rFonts w:ascii="宋体"/>
              </w:rPr>
            </w:pPr>
            <w:r>
              <w:rPr>
                <w:rFonts w:hint="eastAsia"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restart"/>
            <w:vAlign w:val="center"/>
          </w:tcPr>
          <w:p>
            <w:pPr>
              <w:spacing w:line="320" w:lineRule="exact"/>
              <w:rPr>
                <w:rFonts w:ascii="宋体"/>
              </w:rPr>
            </w:pPr>
            <w:r>
              <w:rPr>
                <w:rFonts w:hint="eastAsia" w:ascii="宋体" w:hAnsi="宋体" w:cs="宋体"/>
              </w:rPr>
              <w:t>商务部分得分（</w:t>
            </w:r>
            <w:r>
              <w:rPr>
                <w:rFonts w:ascii="宋体" w:hAnsi="宋体" w:cs="宋体"/>
              </w:rPr>
              <w:t>B</w:t>
            </w:r>
            <w:r>
              <w:rPr>
                <w:rFonts w:hint="eastAsia" w:ascii="宋体" w:hAnsi="宋体" w:cs="宋体"/>
              </w:rPr>
              <w:t>）</w:t>
            </w:r>
          </w:p>
        </w:tc>
        <w:tc>
          <w:tcPr>
            <w:tcW w:w="1378" w:type="dxa"/>
            <w:vAlign w:val="center"/>
          </w:tcPr>
          <w:p>
            <w:pPr>
              <w:spacing w:line="320" w:lineRule="exact"/>
              <w:jc w:val="center"/>
              <w:rPr>
                <w:rFonts w:ascii="宋体"/>
              </w:rPr>
            </w:pPr>
            <w:r>
              <w:rPr>
                <w:rFonts w:hint="eastAsia" w:ascii="宋体" w:cs="宋体"/>
              </w:rPr>
              <w:t>业绩</w:t>
            </w:r>
          </w:p>
          <w:p>
            <w:pPr>
              <w:spacing w:line="320" w:lineRule="exact"/>
              <w:jc w:val="center"/>
              <w:rPr>
                <w:rFonts w:ascii="宋体"/>
              </w:rPr>
            </w:pPr>
            <w:r>
              <w:rPr>
                <w:rFonts w:hint="eastAsia" w:ascii="宋体" w:cs="宋体"/>
              </w:rPr>
              <w:t>（</w:t>
            </w:r>
            <w:r>
              <w:rPr>
                <w:rFonts w:hint="eastAsia" w:ascii="宋体" w:cs="宋体"/>
                <w:lang w:val="en-US" w:eastAsia="zh-CN"/>
              </w:rPr>
              <w:t>2</w:t>
            </w:r>
            <w:r>
              <w:rPr>
                <w:rFonts w:ascii="宋体" w:cs="宋体"/>
              </w:rPr>
              <w:t>0</w:t>
            </w:r>
            <w:r>
              <w:rPr>
                <w:rFonts w:hint="eastAsia" w:ascii="宋体" w:cs="宋体"/>
              </w:rPr>
              <w:t>分）</w:t>
            </w:r>
          </w:p>
        </w:tc>
        <w:tc>
          <w:tcPr>
            <w:tcW w:w="4016" w:type="dxa"/>
            <w:vAlign w:val="center"/>
          </w:tcPr>
          <w:p>
            <w:pPr>
              <w:spacing w:line="320" w:lineRule="exact"/>
              <w:ind w:firstLine="420" w:firstLineChars="200"/>
              <w:jc w:val="left"/>
              <w:rPr>
                <w:rFonts w:ascii="宋体"/>
              </w:rPr>
            </w:pPr>
            <w:r>
              <w:rPr>
                <w:rFonts w:hint="eastAsia" w:ascii="宋体" w:cs="宋体"/>
                <w:lang w:eastAsia="zh-CN"/>
              </w:rPr>
              <w:t>在满足资格条件下，每增加一个二甲及以上公立医院</w:t>
            </w:r>
            <w:r>
              <w:rPr>
                <w:rFonts w:hint="eastAsia" w:ascii="宋体" w:cs="宋体"/>
              </w:rPr>
              <w:t>业绩得</w:t>
            </w:r>
            <w:r>
              <w:rPr>
                <w:rFonts w:hint="eastAsia" w:ascii="宋体" w:cs="宋体"/>
                <w:lang w:val="en-US" w:eastAsia="zh-CN"/>
              </w:rPr>
              <w:t>5</w:t>
            </w:r>
            <w:r>
              <w:rPr>
                <w:rFonts w:hint="eastAsia" w:ascii="宋体" w:cs="宋体"/>
              </w:rPr>
              <w:t>分（总计得分不得超过</w:t>
            </w:r>
            <w:r>
              <w:rPr>
                <w:rFonts w:hint="eastAsia" w:ascii="宋体" w:cs="宋体"/>
                <w:lang w:val="en-US" w:eastAsia="zh-CN"/>
              </w:rPr>
              <w:t>20</w:t>
            </w:r>
            <w:r>
              <w:rPr>
                <w:rFonts w:hint="eastAsia" w:ascii="宋体" w:cs="宋体"/>
              </w:rPr>
              <w:t>分）。</w:t>
            </w:r>
          </w:p>
        </w:tc>
        <w:tc>
          <w:tcPr>
            <w:tcW w:w="1714" w:type="dxa"/>
            <w:vAlign w:val="center"/>
          </w:tcPr>
          <w:p>
            <w:pPr>
              <w:spacing w:line="320" w:lineRule="exact"/>
              <w:ind w:firstLine="420" w:firstLineChars="200"/>
              <w:jc w:val="left"/>
              <w:rPr>
                <w:rFonts w:ascii="宋体"/>
              </w:rPr>
            </w:pPr>
            <w:r>
              <w:rPr>
                <w:rFonts w:hint="eastAsia" w:ascii="宋体" w:cs="宋体"/>
              </w:rPr>
              <w:t>已报价单位提供的合同复印件</w:t>
            </w:r>
            <w:r>
              <w:rPr>
                <w:rFonts w:hint="eastAsia" w:ascii="宋体" w:cs="宋体"/>
                <w:lang w:eastAsia="zh-CN"/>
              </w:rPr>
              <w:t>和评价报告封面</w:t>
            </w:r>
            <w:r>
              <w:rPr>
                <w:rFonts w:hint="eastAsia" w:ascii="宋体" w:cs="宋体"/>
              </w:rPr>
              <w:t>（加盖公章）为准。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continue"/>
            <w:vAlign w:val="center"/>
          </w:tcPr>
          <w:p>
            <w:pPr>
              <w:spacing w:line="320" w:lineRule="exact"/>
              <w:jc w:val="center"/>
            </w:pPr>
          </w:p>
        </w:tc>
        <w:tc>
          <w:tcPr>
            <w:tcW w:w="1378" w:type="dxa"/>
            <w:vAlign w:val="center"/>
          </w:tcPr>
          <w:p>
            <w:pPr>
              <w:spacing w:line="320" w:lineRule="exact"/>
              <w:jc w:val="center"/>
              <w:rPr>
                <w:rFonts w:ascii="宋体"/>
              </w:rPr>
            </w:pPr>
            <w:r>
              <w:rPr>
                <w:rFonts w:hint="eastAsia" w:ascii="宋体" w:cs="宋体"/>
              </w:rPr>
              <w:t>质量技术</w:t>
            </w:r>
          </w:p>
          <w:p>
            <w:pPr>
              <w:spacing w:line="320" w:lineRule="exact"/>
              <w:jc w:val="center"/>
              <w:rPr>
                <w:rFonts w:ascii="宋体"/>
              </w:rPr>
            </w:pPr>
            <w:r>
              <w:rPr>
                <w:rFonts w:hint="eastAsia" w:ascii="宋体" w:cs="宋体"/>
              </w:rPr>
              <w:t>（</w:t>
            </w:r>
            <w:r>
              <w:rPr>
                <w:rFonts w:hint="eastAsia" w:ascii="宋体" w:cs="宋体"/>
                <w:lang w:val="en-US" w:eastAsia="zh-CN"/>
              </w:rPr>
              <w:t>2</w:t>
            </w:r>
            <w:r>
              <w:rPr>
                <w:rFonts w:ascii="宋体" w:cs="宋体"/>
              </w:rPr>
              <w:t>0</w:t>
            </w:r>
            <w:r>
              <w:rPr>
                <w:rFonts w:hint="eastAsia" w:ascii="宋体" w:cs="宋体"/>
              </w:rPr>
              <w:t>分）</w:t>
            </w:r>
          </w:p>
        </w:tc>
        <w:tc>
          <w:tcPr>
            <w:tcW w:w="4016" w:type="dxa"/>
            <w:vAlign w:val="center"/>
          </w:tcPr>
          <w:p>
            <w:pPr>
              <w:pStyle w:val="2"/>
              <w:ind w:firstLine="420" w:firstLineChars="200"/>
              <w:rPr>
                <w:rFonts w:ascii="Times New Roman" w:hAnsi="Times New Roman" w:cs="Times New Roman"/>
                <w:sz w:val="21"/>
                <w:szCs w:val="21"/>
              </w:rPr>
            </w:pPr>
            <w:r>
              <w:rPr>
                <w:rFonts w:hint="eastAsia" w:ascii="Times New Roman" w:hAnsi="Times New Roman"/>
                <w:sz w:val="21"/>
                <w:szCs w:val="21"/>
                <w:lang w:eastAsia="zh-CN"/>
              </w:rPr>
              <w:t>响应人根据本项目技术要求内容制定服务方案，针对方案内容进行综合比较，优秀得</w:t>
            </w:r>
            <w:r>
              <w:rPr>
                <w:rFonts w:hint="eastAsia" w:ascii="Times New Roman" w:hAnsi="Times New Roman"/>
                <w:sz w:val="21"/>
                <w:szCs w:val="21"/>
                <w:lang w:val="en-US" w:eastAsia="zh-CN"/>
              </w:rPr>
              <w:t>16-20分，良好得11-15分，一般得6-10分，差及未提供方案得0分</w:t>
            </w:r>
            <w:r>
              <w:rPr>
                <w:rFonts w:hint="eastAsia" w:ascii="Times New Roman" w:hAnsi="Times New Roman"/>
                <w:sz w:val="21"/>
                <w:szCs w:val="21"/>
              </w:rPr>
              <w:t>。</w:t>
            </w:r>
          </w:p>
        </w:tc>
        <w:tc>
          <w:tcPr>
            <w:tcW w:w="1714"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continue"/>
            <w:vAlign w:val="center"/>
          </w:tcPr>
          <w:p>
            <w:pPr>
              <w:spacing w:line="320" w:lineRule="exact"/>
              <w:jc w:val="center"/>
            </w:pPr>
          </w:p>
        </w:tc>
        <w:tc>
          <w:tcPr>
            <w:tcW w:w="1378" w:type="dxa"/>
            <w:vAlign w:val="center"/>
          </w:tcPr>
          <w:p>
            <w:pPr>
              <w:spacing w:line="320" w:lineRule="exact"/>
              <w:jc w:val="center"/>
              <w:rPr>
                <w:rFonts w:ascii="宋体"/>
              </w:rPr>
            </w:pPr>
            <w:r>
              <w:rPr>
                <w:rFonts w:hint="eastAsia" w:ascii="宋体" w:cs="宋体"/>
              </w:rPr>
              <w:t>工期要求</w:t>
            </w:r>
            <w:r>
              <w:rPr>
                <w:rFonts w:ascii="宋体" w:cs="宋体"/>
              </w:rPr>
              <w:t xml:space="preserve">  </w:t>
            </w:r>
            <w:r>
              <w:rPr>
                <w:rFonts w:hint="eastAsia" w:ascii="宋体" w:cs="宋体"/>
              </w:rPr>
              <w:t>（</w:t>
            </w:r>
            <w:r>
              <w:rPr>
                <w:rFonts w:ascii="宋体" w:cs="宋体"/>
              </w:rPr>
              <w:t>5</w:t>
            </w:r>
            <w:r>
              <w:rPr>
                <w:rFonts w:hint="eastAsia" w:ascii="宋体" w:cs="宋体"/>
              </w:rPr>
              <w:t>分）</w:t>
            </w:r>
          </w:p>
        </w:tc>
        <w:tc>
          <w:tcPr>
            <w:tcW w:w="4016" w:type="dxa"/>
            <w:vAlign w:val="center"/>
          </w:tcPr>
          <w:p>
            <w:pPr>
              <w:pStyle w:val="2"/>
              <w:ind w:firstLine="420" w:firstLineChars="200"/>
              <w:rPr>
                <w:rFonts w:ascii="Times New Roman" w:hAnsi="Times New Roman" w:cs="Times New Roman"/>
                <w:sz w:val="21"/>
                <w:szCs w:val="21"/>
              </w:rPr>
            </w:pPr>
            <w:r>
              <w:rPr>
                <w:rFonts w:hint="eastAsia" w:hAnsi="Times New Roman"/>
                <w:sz w:val="21"/>
                <w:szCs w:val="21"/>
              </w:rPr>
              <w:t>要求报价单位在接到中选通知后，不超过</w:t>
            </w:r>
            <w:r>
              <w:rPr>
                <w:rFonts w:hAnsi="Times New Roman"/>
                <w:sz w:val="21"/>
                <w:szCs w:val="21"/>
              </w:rPr>
              <w:t>2</w:t>
            </w:r>
            <w:r>
              <w:rPr>
                <w:rFonts w:hint="eastAsia" w:hAnsi="Times New Roman"/>
                <w:sz w:val="21"/>
                <w:szCs w:val="21"/>
              </w:rPr>
              <w:t>个月提供报告初稿，不超过</w:t>
            </w:r>
            <w:r>
              <w:rPr>
                <w:rFonts w:hAnsi="Times New Roman"/>
                <w:sz w:val="21"/>
                <w:szCs w:val="21"/>
              </w:rPr>
              <w:t>3</w:t>
            </w:r>
            <w:r>
              <w:rPr>
                <w:rFonts w:hint="eastAsia" w:hAnsi="Times New Roman"/>
                <w:sz w:val="21"/>
                <w:szCs w:val="21"/>
              </w:rPr>
              <w:t>个月出具正式报告</w:t>
            </w:r>
            <w:r>
              <w:rPr>
                <w:rFonts w:hint="eastAsia" w:hAnsi="Times New Roman"/>
                <w:sz w:val="21"/>
                <w:szCs w:val="21"/>
                <w:lang w:eastAsia="zh-CN"/>
              </w:rPr>
              <w:t>（纸质版一式三份和电子版）。</w:t>
            </w:r>
            <w:r>
              <w:rPr>
                <w:rFonts w:hint="eastAsia" w:hAnsi="Times New Roman"/>
                <w:sz w:val="21"/>
                <w:szCs w:val="21"/>
              </w:rPr>
              <w:t>能完全满足的得满分，任何</w:t>
            </w:r>
            <w:r>
              <w:rPr>
                <w:rFonts w:hAnsi="Times New Roman"/>
                <w:sz w:val="21"/>
                <w:szCs w:val="21"/>
              </w:rPr>
              <w:t>1</w:t>
            </w:r>
            <w:r>
              <w:rPr>
                <w:rFonts w:hint="eastAsia" w:hAnsi="Times New Roman"/>
                <w:sz w:val="21"/>
                <w:szCs w:val="21"/>
              </w:rPr>
              <w:t>项</w:t>
            </w:r>
            <w:r>
              <w:rPr>
                <w:rFonts w:hint="eastAsia" w:ascii="Times New Roman" w:hAnsi="Times New Roman"/>
                <w:sz w:val="21"/>
                <w:szCs w:val="21"/>
              </w:rPr>
              <w:t>不能满足均不得分。</w:t>
            </w:r>
          </w:p>
        </w:tc>
        <w:tc>
          <w:tcPr>
            <w:tcW w:w="1714"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77" w:type="dxa"/>
            <w:vMerge w:val="continue"/>
            <w:vAlign w:val="center"/>
          </w:tcPr>
          <w:p>
            <w:pPr>
              <w:spacing w:line="320" w:lineRule="exact"/>
              <w:jc w:val="center"/>
              <w:rPr>
                <w:rFonts w:ascii="宋体"/>
              </w:rPr>
            </w:pPr>
          </w:p>
        </w:tc>
        <w:tc>
          <w:tcPr>
            <w:tcW w:w="1378" w:type="dxa"/>
            <w:vAlign w:val="center"/>
          </w:tcPr>
          <w:p>
            <w:pPr>
              <w:spacing w:line="320" w:lineRule="exact"/>
              <w:jc w:val="center"/>
              <w:rPr>
                <w:rFonts w:ascii="宋体"/>
              </w:rPr>
            </w:pPr>
            <w:r>
              <w:rPr>
                <w:rFonts w:hint="eastAsia" w:ascii="宋体" w:cs="宋体"/>
              </w:rPr>
              <w:t>售后服务</w:t>
            </w:r>
          </w:p>
          <w:p>
            <w:pPr>
              <w:spacing w:line="320" w:lineRule="exact"/>
              <w:jc w:val="center"/>
              <w:rPr>
                <w:rFonts w:ascii="宋体"/>
              </w:rPr>
            </w:pPr>
            <w:r>
              <w:rPr>
                <w:rFonts w:hint="eastAsia" w:ascii="宋体" w:cs="宋体"/>
              </w:rPr>
              <w:t>（</w:t>
            </w:r>
            <w:r>
              <w:rPr>
                <w:rFonts w:ascii="宋体" w:cs="宋体"/>
              </w:rPr>
              <w:t>5</w:t>
            </w:r>
            <w:r>
              <w:rPr>
                <w:rFonts w:hint="eastAsia" w:ascii="宋体" w:cs="宋体"/>
              </w:rPr>
              <w:t>分）</w:t>
            </w:r>
          </w:p>
        </w:tc>
        <w:tc>
          <w:tcPr>
            <w:tcW w:w="4016" w:type="dxa"/>
            <w:vAlign w:val="center"/>
          </w:tcPr>
          <w:p>
            <w:pPr>
              <w:spacing w:line="320" w:lineRule="exact"/>
              <w:ind w:firstLine="420" w:firstLineChars="200"/>
              <w:jc w:val="left"/>
              <w:rPr>
                <w:rFonts w:ascii="宋体"/>
              </w:rPr>
            </w:pPr>
            <w:r>
              <w:rPr>
                <w:rFonts w:hint="eastAsia" w:ascii="宋体" w:cs="宋体"/>
              </w:rPr>
              <w:t>项目验收合格后，提供至少一年的售后</w:t>
            </w:r>
            <w:r>
              <w:rPr>
                <w:rFonts w:hint="eastAsia" w:ascii="宋体" w:cs="宋体"/>
                <w:lang w:eastAsia="zh-CN"/>
              </w:rPr>
              <w:t>（咨询）</w:t>
            </w:r>
            <w:r>
              <w:rPr>
                <w:rFonts w:hint="eastAsia" w:ascii="宋体" w:cs="宋体"/>
              </w:rPr>
              <w:t>服务期，</w:t>
            </w:r>
            <w:r>
              <w:rPr>
                <w:rFonts w:hint="eastAsia" w:ascii="宋体" w:cs="宋体"/>
                <w:lang w:eastAsia="zh-CN"/>
              </w:rPr>
              <w:t>满足一年的得</w:t>
            </w:r>
            <w:r>
              <w:rPr>
                <w:rFonts w:hint="eastAsia" w:ascii="宋体" w:cs="宋体"/>
                <w:lang w:val="en-US" w:eastAsia="zh-CN"/>
              </w:rPr>
              <w:t>3分，一年以上的根据提供的服务期长短进行比较加分（总计得分不得超过5分），</w:t>
            </w:r>
            <w:r>
              <w:rPr>
                <w:rFonts w:hint="eastAsia" w:ascii="宋体" w:cs="宋体"/>
              </w:rPr>
              <w:t>不能满足的不得分。</w:t>
            </w:r>
          </w:p>
        </w:tc>
        <w:tc>
          <w:tcPr>
            <w:tcW w:w="1714" w:type="dxa"/>
            <w:vAlign w:val="center"/>
          </w:tcPr>
          <w:p>
            <w:pPr>
              <w:spacing w:line="320" w:lineRule="exact"/>
              <w:ind w:firstLine="420" w:firstLineChars="200"/>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5" w:type="dxa"/>
            <w:gridSpan w:val="4"/>
            <w:vAlign w:val="center"/>
          </w:tcPr>
          <w:p>
            <w:pPr>
              <w:spacing w:line="320" w:lineRule="exact"/>
              <w:rPr>
                <w:rFonts w:ascii="宋体"/>
              </w:rPr>
            </w:pPr>
            <w:r>
              <w:rPr>
                <w:rFonts w:hint="eastAsia" w:ascii="宋体" w:hAnsi="宋体" w:cs="宋体"/>
              </w:rPr>
              <w:t>得分</w:t>
            </w:r>
            <w:r>
              <w:rPr>
                <w:rFonts w:ascii="宋体" w:hAnsi="宋体" w:cs="宋体"/>
              </w:rPr>
              <w:t>=A+B</w:t>
            </w:r>
            <w:r>
              <w:rPr>
                <w:rFonts w:hint="eastAsia" w:ascii="宋体" w:hAnsi="宋体" w:cs="宋体"/>
              </w:rPr>
              <w:t>。</w:t>
            </w:r>
          </w:p>
        </w:tc>
      </w:tr>
    </w:tbl>
    <w:p>
      <w:pPr>
        <w:spacing w:line="420" w:lineRule="exact"/>
        <w:ind w:firstLine="482" w:firstLineChars="200"/>
        <w:rPr>
          <w:rFonts w:ascii="宋体"/>
          <w:b/>
          <w:bCs/>
          <w:sz w:val="24"/>
          <w:szCs w:val="24"/>
        </w:rPr>
      </w:pPr>
      <w:r>
        <w:rPr>
          <w:rFonts w:hint="eastAsia" w:ascii="宋体" w:hAnsi="宋体" w:cs="宋体"/>
          <w:b/>
          <w:bCs/>
          <w:sz w:val="24"/>
          <w:szCs w:val="24"/>
        </w:rPr>
        <w:t>四、响应人不足的情形</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（一）重新组织比选</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有下列情形之一的，比选人将重新组织比选：</w:t>
      </w:r>
    </w:p>
    <w:p>
      <w:pPr>
        <w:spacing w:line="42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2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．经评审小组评审后否决所有响应人的。</w:t>
      </w:r>
    </w:p>
    <w:p>
      <w:pPr>
        <w:spacing w:line="42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（二）重新组织比选后，响应人仍不足的情形</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重新比选后响应人仍少于</w:t>
      </w:r>
      <w:r>
        <w:rPr>
          <w:rFonts w:ascii="宋体" w:hAnsi="宋体" w:cs="宋体"/>
          <w:color w:val="000000"/>
          <w:sz w:val="24"/>
          <w:szCs w:val="24"/>
        </w:rPr>
        <w:t>3</w:t>
      </w:r>
      <w:r>
        <w:rPr>
          <w:rFonts w:hint="eastAsia" w:ascii="宋体" w:hAnsi="宋体" w:cs="宋体"/>
          <w:color w:val="000000"/>
          <w:sz w:val="24"/>
          <w:szCs w:val="24"/>
        </w:rPr>
        <w:t>个，由评审小组商议决定是否按法定程序比选和评审，确定中选人或转变采购方式。</w:t>
      </w:r>
    </w:p>
    <w:p>
      <w:pPr>
        <w:spacing w:line="440" w:lineRule="exact"/>
        <w:ind w:firstLine="482" w:firstLineChars="200"/>
        <w:rPr>
          <w:rFonts w:ascii="宋体"/>
          <w:sz w:val="24"/>
          <w:szCs w:val="24"/>
        </w:rPr>
      </w:pPr>
      <w:r>
        <w:rPr>
          <w:rFonts w:hint="eastAsia" w:ascii="宋体" w:hAnsi="宋体" w:cs="宋体"/>
          <w:b/>
          <w:bCs/>
          <w:sz w:val="24"/>
          <w:szCs w:val="24"/>
        </w:rPr>
        <w:t>五、比选有效期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40" w:lineRule="exact"/>
        <w:ind w:firstLine="482" w:firstLineChars="200"/>
        <w:rPr>
          <w:rFonts w:ascii="宋体"/>
          <w:sz w:val="24"/>
          <w:szCs w:val="24"/>
        </w:rPr>
      </w:pPr>
      <w:r>
        <w:rPr>
          <w:rFonts w:hint="eastAsia" w:ascii="宋体" w:hAnsi="宋体" w:cs="宋体"/>
          <w:b/>
          <w:bCs/>
          <w:sz w:val="24"/>
          <w:szCs w:val="24"/>
        </w:rPr>
        <w:t>六、付款方式</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初稿完成后，比选人向服务方支付合同金额的</w:t>
      </w:r>
      <w:r>
        <w:rPr>
          <w:rFonts w:hint="eastAsia" w:ascii="宋体" w:hAnsi="宋体" w:cs="宋体"/>
          <w:sz w:val="24"/>
          <w:szCs w:val="24"/>
          <w:lang w:val="en-US" w:eastAsia="zh-CN"/>
        </w:rPr>
        <w:t>5</w:t>
      </w:r>
      <w:r>
        <w:rPr>
          <w:rFonts w:ascii="宋体" w:hAnsi="宋体" w:cs="宋体"/>
          <w:sz w:val="24"/>
          <w:szCs w:val="24"/>
        </w:rPr>
        <w:t>0%</w:t>
      </w:r>
      <w:r>
        <w:rPr>
          <w:rFonts w:hint="eastAsia" w:ascii="宋体" w:hAnsi="宋体" w:cs="宋体"/>
          <w:sz w:val="24"/>
          <w:szCs w:val="24"/>
        </w:rPr>
        <w:t>；正式报告交付后经医院组织相关部门验收合格，比选人向服务方付清合同剩余金额的</w:t>
      </w:r>
      <w:r>
        <w:rPr>
          <w:rFonts w:hint="eastAsia" w:ascii="宋体" w:hAnsi="宋体" w:cs="宋体"/>
          <w:sz w:val="24"/>
          <w:szCs w:val="24"/>
          <w:lang w:val="en-US" w:eastAsia="zh-CN"/>
        </w:rPr>
        <w:t>5</w:t>
      </w:r>
      <w:r>
        <w:rPr>
          <w:rFonts w:ascii="宋体" w:hAnsi="宋体" w:cs="宋体"/>
          <w:sz w:val="24"/>
          <w:szCs w:val="24"/>
        </w:rPr>
        <w:t>0%</w:t>
      </w:r>
      <w:r>
        <w:rPr>
          <w:rFonts w:hint="eastAsia" w:ascii="宋体" w:hAnsi="宋体" w:cs="宋体"/>
          <w:sz w:val="24"/>
          <w:szCs w:val="24"/>
          <w:lang w:eastAsia="zh-CN"/>
        </w:rPr>
        <w:t>。</w:t>
      </w:r>
    </w:p>
    <w:p>
      <w:pPr>
        <w:spacing w:line="420" w:lineRule="exact"/>
        <w:ind w:firstLine="482" w:firstLineChars="200"/>
        <w:rPr>
          <w:rFonts w:ascii="宋体"/>
          <w:sz w:val="24"/>
          <w:szCs w:val="24"/>
        </w:rPr>
      </w:pPr>
      <w:r>
        <w:rPr>
          <w:rFonts w:hint="eastAsia" w:ascii="宋体" w:hAnsi="宋体" w:cs="宋体"/>
          <w:b/>
          <w:bCs/>
          <w:sz w:val="24"/>
          <w:szCs w:val="24"/>
        </w:rPr>
        <w:t>七、响应文件的组成</w:t>
      </w:r>
      <w:r>
        <w:rPr>
          <w:rFonts w:hint="eastAsia" w:ascii="宋体" w:hAnsi="宋体" w:cs="宋体"/>
          <w:sz w:val="24"/>
          <w:szCs w:val="24"/>
        </w:rPr>
        <w:t>：</w:t>
      </w:r>
    </w:p>
    <w:p>
      <w:pPr>
        <w:spacing w:line="420" w:lineRule="exact"/>
        <w:ind w:firstLine="480" w:firstLineChars="200"/>
        <w:rPr>
          <w:rFonts w:ascii="宋体"/>
          <w:sz w:val="24"/>
          <w:szCs w:val="24"/>
        </w:rPr>
      </w:pPr>
      <w:bookmarkStart w:id="0" w:name="_Toc256249129"/>
      <w:bookmarkStart w:id="1" w:name="_Toc12789069"/>
      <w:r>
        <w:rPr>
          <w:rFonts w:hint="eastAsia" w:ascii="宋体" w:hAnsi="宋体" w:cs="宋体"/>
          <w:sz w:val="24"/>
          <w:szCs w:val="24"/>
        </w:rPr>
        <w:t>比选报价函；</w:t>
      </w:r>
    </w:p>
    <w:p>
      <w:pPr>
        <w:spacing w:line="420" w:lineRule="exact"/>
        <w:ind w:firstLine="480" w:firstLineChars="200"/>
        <w:rPr>
          <w:rFonts w:ascii="宋体"/>
          <w:sz w:val="24"/>
          <w:szCs w:val="24"/>
        </w:rPr>
      </w:pPr>
      <w:r>
        <w:rPr>
          <w:rFonts w:hint="eastAsia" w:ascii="宋体" w:hAnsi="宋体" w:cs="宋体"/>
          <w:sz w:val="24"/>
          <w:szCs w:val="24"/>
        </w:rPr>
        <w:t>法定代表人身份证明及授权委托书；</w:t>
      </w:r>
    </w:p>
    <w:p>
      <w:pPr>
        <w:spacing w:line="420" w:lineRule="exact"/>
        <w:ind w:firstLine="480" w:firstLineChars="200"/>
        <w:rPr>
          <w:rFonts w:ascii="宋体"/>
          <w:sz w:val="24"/>
          <w:szCs w:val="24"/>
        </w:rPr>
      </w:pPr>
      <w:r>
        <w:rPr>
          <w:rFonts w:hint="eastAsia" w:ascii="宋体" w:hAnsi="宋体" w:cs="宋体"/>
          <w:sz w:val="24"/>
          <w:szCs w:val="24"/>
        </w:rPr>
        <w:t>资质部分；</w:t>
      </w:r>
    </w:p>
    <w:p>
      <w:pPr>
        <w:spacing w:line="420" w:lineRule="exact"/>
        <w:ind w:firstLine="480" w:firstLineChars="200"/>
        <w:rPr>
          <w:rFonts w:ascii="宋体"/>
          <w:sz w:val="24"/>
          <w:szCs w:val="24"/>
        </w:rPr>
      </w:pPr>
      <w:r>
        <w:rPr>
          <w:rFonts w:hint="eastAsia" w:ascii="宋体" w:hAnsi="宋体" w:cs="宋体"/>
          <w:sz w:val="24"/>
          <w:szCs w:val="24"/>
        </w:rPr>
        <w:t>商务部分；</w:t>
      </w:r>
    </w:p>
    <w:p>
      <w:pPr>
        <w:spacing w:line="420" w:lineRule="exact"/>
        <w:ind w:firstLine="480" w:firstLineChars="200"/>
        <w:rPr>
          <w:rFonts w:ascii="宋体"/>
          <w:sz w:val="24"/>
          <w:szCs w:val="24"/>
        </w:rPr>
      </w:pPr>
      <w:r>
        <w:rPr>
          <w:rFonts w:hint="eastAsia" w:ascii="宋体" w:hAnsi="宋体" w:cs="宋体"/>
          <w:sz w:val="24"/>
          <w:szCs w:val="24"/>
        </w:rPr>
        <w:t>其它须说明材料。</w:t>
      </w:r>
    </w:p>
    <w:p>
      <w:pPr>
        <w:spacing w:line="420" w:lineRule="exact"/>
        <w:ind w:firstLine="480" w:firstLineChars="200"/>
        <w:rPr>
          <w:rFonts w:ascii="宋体"/>
          <w:sz w:val="24"/>
          <w:szCs w:val="24"/>
        </w:rPr>
      </w:pPr>
      <w:r>
        <w:rPr>
          <w:rFonts w:hint="eastAsia" w:ascii="宋体" w:hAnsi="宋体" w:cs="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rPr>
        <w:t>八、合同的签订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sz w:val="24"/>
          <w:szCs w:val="24"/>
        </w:rPr>
      </w:pPr>
      <w:r>
        <w:rPr>
          <w:rFonts w:hint="eastAsia" w:ascii="宋体" w:hAnsi="宋体" w:cs="宋体"/>
          <w:b/>
          <w:bCs/>
          <w:sz w:val="24"/>
          <w:szCs w:val="24"/>
        </w:rPr>
        <w:t>九、费用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b/>
          <w:bCs/>
          <w:sz w:val="24"/>
          <w:szCs w:val="24"/>
        </w:rPr>
      </w:pPr>
      <w:r>
        <w:rPr>
          <w:rFonts w:hint="eastAsia" w:ascii="宋体" w:hAnsi="宋体" w:cs="宋体"/>
          <w:b/>
          <w:bCs/>
          <w:sz w:val="24"/>
          <w:szCs w:val="24"/>
        </w:rPr>
        <w:t>十、如有未尽事宜，最终解释权在比选方。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十一、若响应人提供虚假材料将按作废处理。</w:t>
      </w:r>
    </w:p>
    <w:p>
      <w:pPr>
        <w:spacing w:line="420" w:lineRule="exact"/>
        <w:rPr>
          <w:rFonts w:ascii="宋体"/>
          <w:b/>
          <w:bCs/>
          <w:color w:val="000000"/>
          <w:sz w:val="24"/>
          <w:szCs w:val="24"/>
        </w:rPr>
      </w:pPr>
      <w:r>
        <w:rPr>
          <w:rFonts w:ascii="宋体"/>
          <w:b/>
          <w:bCs/>
          <w:color w:val="000000"/>
          <w:sz w:val="24"/>
          <w:szCs w:val="24"/>
        </w:rPr>
        <w:br w:type="page"/>
      </w:r>
    </w:p>
    <w:p>
      <w:pPr>
        <w:pStyle w:val="2"/>
        <w:rPr>
          <w:rFonts w:cs="Times New Roman"/>
        </w:rPr>
      </w:pPr>
    </w:p>
    <w:p>
      <w:pPr>
        <w:rPr>
          <w:b/>
          <w:bCs/>
          <w:sz w:val="32"/>
          <w:szCs w:val="32"/>
        </w:rPr>
      </w:pPr>
    </w:p>
    <w:p>
      <w:pPr>
        <w:jc w:val="center"/>
        <w:rPr>
          <w:rFonts w:ascii="宋体"/>
          <w:b/>
          <w:bCs/>
          <w:sz w:val="44"/>
          <w:szCs w:val="44"/>
        </w:rPr>
      </w:pPr>
      <w:r>
        <w:rPr>
          <w:rFonts w:hint="eastAsia" w:ascii="宋体" w:hAnsi="宋体" w:cs="宋体"/>
          <w:b/>
          <w:bCs/>
          <w:sz w:val="44"/>
          <w:szCs w:val="44"/>
        </w:rPr>
        <w:t>第三章</w:t>
      </w:r>
      <w:r>
        <w:rPr>
          <w:rFonts w:ascii="宋体" w:hAnsi="宋体" w:cs="宋体"/>
          <w:b/>
          <w:bCs/>
          <w:sz w:val="44"/>
          <w:szCs w:val="44"/>
        </w:rPr>
        <w:t xml:space="preserve">  </w:t>
      </w:r>
      <w:r>
        <w:rPr>
          <w:rFonts w:hint="eastAsia" w:ascii="宋体" w:hAnsi="宋体" w:cs="宋体"/>
          <w:b/>
          <w:bCs/>
          <w:sz w:val="44"/>
          <w:szCs w:val="44"/>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rPr>
          <w:rFonts w:cs="Times New Roman"/>
        </w:rPr>
      </w:pPr>
    </w:p>
    <w:p>
      <w:pPr>
        <w:pStyle w:val="2"/>
        <w:rPr>
          <w:rFonts w:cs="Times New Roman"/>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一、比选报价函；</w:t>
      </w:r>
    </w:p>
    <w:p>
      <w:pPr>
        <w:spacing w:line="480" w:lineRule="exact"/>
        <w:ind w:firstLine="480" w:firstLineChars="200"/>
        <w:jc w:val="left"/>
        <w:rPr>
          <w:rFonts w:ascii="宋体"/>
          <w:sz w:val="24"/>
          <w:szCs w:val="24"/>
        </w:rPr>
      </w:pPr>
      <w:r>
        <w:rPr>
          <w:rFonts w:hint="eastAsia" w:ascii="宋体" w:hAnsi="宋体" w:cs="宋体"/>
          <w:sz w:val="24"/>
          <w:szCs w:val="24"/>
        </w:rPr>
        <w:t>二、法定代表人身份证明及授权委托书；</w:t>
      </w:r>
    </w:p>
    <w:p>
      <w:pPr>
        <w:spacing w:line="480" w:lineRule="exact"/>
        <w:ind w:firstLine="480" w:firstLineChars="200"/>
        <w:jc w:val="left"/>
        <w:rPr>
          <w:rFonts w:ascii="宋体"/>
          <w:sz w:val="24"/>
          <w:szCs w:val="24"/>
        </w:rPr>
      </w:pPr>
      <w:r>
        <w:rPr>
          <w:rFonts w:hint="eastAsia" w:ascii="宋体" w:hAnsi="宋体" w:cs="宋体"/>
          <w:sz w:val="24"/>
          <w:szCs w:val="24"/>
        </w:rPr>
        <w:t>三、资质部分；</w:t>
      </w:r>
    </w:p>
    <w:p>
      <w:pPr>
        <w:spacing w:line="480" w:lineRule="exact"/>
        <w:ind w:firstLine="480" w:firstLineChars="200"/>
        <w:jc w:val="left"/>
        <w:rPr>
          <w:rFonts w:ascii="宋体"/>
          <w:sz w:val="24"/>
          <w:szCs w:val="24"/>
        </w:rPr>
      </w:pPr>
      <w:r>
        <w:rPr>
          <w:rFonts w:hint="eastAsia" w:ascii="宋体" w:hAnsi="宋体" w:cs="宋体"/>
          <w:sz w:val="24"/>
          <w:szCs w:val="24"/>
        </w:rPr>
        <w:t>四、商务部分；</w:t>
      </w:r>
    </w:p>
    <w:p>
      <w:pPr>
        <w:spacing w:line="480" w:lineRule="exact"/>
        <w:ind w:firstLine="480" w:firstLineChars="200"/>
        <w:jc w:val="left"/>
        <w:rPr>
          <w:rFonts w:ascii="宋体"/>
          <w:sz w:val="24"/>
          <w:szCs w:val="24"/>
        </w:rPr>
      </w:pPr>
      <w:r>
        <w:rPr>
          <w:rFonts w:hint="eastAsia" w:ascii="宋体" w:hAnsi="宋体" w:cs="宋体"/>
          <w:sz w:val="24"/>
          <w:szCs w:val="24"/>
        </w:rPr>
        <w:t>五、其它须说明材料。</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pStyle w:val="2"/>
        <w:rPr>
          <w:rFonts w:cs="Times New Roman"/>
        </w:rPr>
      </w:pPr>
    </w:p>
    <w:p>
      <w:pPr>
        <w:spacing w:line="400" w:lineRule="exact"/>
        <w:jc w:val="center"/>
        <w:rPr>
          <w:rFonts w:ascii="宋体"/>
          <w:b/>
          <w:bCs/>
          <w:sz w:val="32"/>
          <w:szCs w:val="32"/>
        </w:rPr>
      </w:pPr>
      <w:r>
        <w:rPr>
          <w:rFonts w:hint="eastAsia" w:ascii="宋体" w:hAnsi="宋体" w:cs="宋体"/>
          <w:b/>
          <w:bCs/>
          <w:sz w:val="32"/>
          <w:szCs w:val="32"/>
        </w:rPr>
        <w:t>一、响</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6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（项目名称）比选文件的全部内容，原意以含税价人民币（大写）</w:t>
      </w:r>
      <w:r>
        <w:rPr>
          <w:rFonts w:ascii="宋体" w:hAnsi="宋体" w:cs="宋体"/>
          <w:sz w:val="24"/>
          <w:szCs w:val="24"/>
          <w:u w:val="single"/>
        </w:rPr>
        <w:t xml:space="preserve">                  </w:t>
      </w:r>
      <w:r>
        <w:rPr>
          <w:rFonts w:hint="eastAsia" w:ascii="宋体" w:hAnsi="宋体" w:cs="宋体"/>
          <w:sz w:val="24"/>
          <w:szCs w:val="24"/>
        </w:rPr>
        <w:t>（</w:t>
      </w:r>
      <w:r>
        <w:rPr>
          <w:rFonts w:hint="eastAsia" w:ascii="宋体" w:cs="宋体"/>
          <w:sz w:val="24"/>
          <w:szCs w:val="24"/>
        </w:rPr>
        <w:t>￥</w:t>
      </w:r>
      <w:r>
        <w:rPr>
          <w:rFonts w:ascii="宋体" w:hAnsi="宋体" w:cs="宋体"/>
          <w:sz w:val="24"/>
          <w:szCs w:val="24"/>
          <w:u w:val="single"/>
        </w:rPr>
        <w:t xml:space="preserve">             </w:t>
      </w:r>
      <w:r>
        <w:rPr>
          <w:rFonts w:hint="eastAsia" w:ascii="宋体" w:hAnsi="宋体" w:cs="宋体"/>
          <w:sz w:val="24"/>
          <w:szCs w:val="24"/>
        </w:rPr>
        <w:t>）的报价完成本项目并按合同约定履行义务。</w:t>
      </w:r>
    </w:p>
    <w:p>
      <w:pPr>
        <w:spacing w:line="46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）比选报价函；</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）法定代表人身份证明及授权委托书；</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）营业执照副本；</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）商务部分；</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）其它须说明材料。</w:t>
      </w:r>
    </w:p>
    <w:p>
      <w:pPr>
        <w:spacing w:line="46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6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6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6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响应人名称：</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单位性质：</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成立时间：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u w:val="single"/>
        </w:rPr>
        <w:t xml:space="preserve"> </w:t>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月</w:t>
      </w:r>
      <w:r>
        <w:rPr>
          <w:rFonts w:ascii="宋体" w:hAnsi="宋体" w:cs="宋体"/>
          <w:color w:val="000000"/>
          <w:w w:val="2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经营期限：</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姓名：</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性别</w:t>
      </w:r>
      <w:r>
        <w:rPr>
          <w:rFonts w:hint="eastAsia" w:ascii="宋体" w:hAnsi="宋体" w:cs="宋体"/>
          <w:color w:val="000000"/>
          <w:spacing w:val="-1"/>
          <w:kern w:val="0"/>
          <w:sz w:val="24"/>
          <w:szCs w:val="24"/>
        </w:rPr>
        <w:t>：</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hint="eastAsia" w:ascii="宋体" w:hAnsi="宋体" w:cs="宋体"/>
          <w:color w:val="000000"/>
          <w:kern w:val="0"/>
          <w:sz w:val="24"/>
          <w:szCs w:val="24"/>
        </w:rPr>
        <w:t>龄：</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职务：</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系</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（响应人名称）的法定代表人。</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jc w:val="left"/>
        <w:rPr>
          <w:rFonts w:ascii="宋体"/>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napToGrid w:val="0"/>
        <w:spacing w:line="480" w:lineRule="exact"/>
        <w:jc w:val="left"/>
        <w:rPr>
          <w:rFonts w:ascii="宋体"/>
          <w:color w:val="000000"/>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未列入失信被执行人、重大税收违法案件当事人名单、无政府采购严重违法失信行为记录，且在人员、设备、资金、技术等方面具有相应的能力。若承诺与实事不符合，愿意承担相应责任。</w:t>
      </w: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tabs>
          <w:tab w:val="left" w:pos="5460"/>
        </w:tabs>
        <w:autoSpaceDE w:val="0"/>
        <w:autoSpaceDN w:val="0"/>
        <w:adjustRightInd w:val="0"/>
        <w:snapToGrid w:val="0"/>
        <w:spacing w:line="480" w:lineRule="exact"/>
        <w:ind w:firstLine="2100"/>
        <w:jc w:val="righ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pStyle w:val="2"/>
        <w:rPr>
          <w:rFonts w:cs="Times New Roman"/>
        </w:rPr>
      </w:pPr>
    </w:p>
    <w:p>
      <w:pPr>
        <w:pStyle w:val="2"/>
        <w:rPr>
          <w:rFonts w:cs="Times New Roman"/>
        </w:rPr>
      </w:pPr>
    </w:p>
    <w:p>
      <w:pPr>
        <w:spacing w:line="276" w:lineRule="auto"/>
        <w:rPr>
          <w:rFonts w:ascii="宋体"/>
          <w:b/>
          <w:bCs/>
          <w:sz w:val="28"/>
          <w:szCs w:val="28"/>
        </w:rPr>
      </w:pPr>
    </w:p>
    <w:p>
      <w:pPr>
        <w:pStyle w:val="2"/>
        <w:rPr>
          <w:rFonts w:cs="Times New Roman"/>
        </w:rPr>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spacing w:line="276" w:lineRule="auto"/>
        <w:rPr>
          <w:rFonts w:ascii="宋体"/>
          <w:b/>
          <w:bCs/>
          <w:color w:val="000000"/>
          <w:sz w:val="28"/>
          <w:szCs w:val="28"/>
        </w:rPr>
      </w:pPr>
      <w:r>
        <w:rPr>
          <w:rFonts w:hint="eastAsia" w:ascii="宋体" w:cs="宋体"/>
          <w:b/>
          <w:bCs/>
          <w:color w:val="000000"/>
          <w:sz w:val="28"/>
          <w:szCs w:val="28"/>
        </w:rPr>
        <w:t>五、资质材料；</w:t>
      </w:r>
    </w:p>
    <w:p>
      <w:pPr>
        <w:spacing w:line="276" w:lineRule="auto"/>
        <w:rPr>
          <w:rFonts w:ascii="宋体"/>
          <w:b/>
          <w:bCs/>
          <w:color w:val="000000"/>
          <w:sz w:val="28"/>
          <w:szCs w:val="28"/>
        </w:rPr>
      </w:pPr>
      <w:r>
        <w:rPr>
          <w:rFonts w:hint="eastAsia" w:ascii="宋体" w:cs="宋体"/>
          <w:b/>
          <w:bCs/>
          <w:color w:val="000000"/>
          <w:sz w:val="28"/>
          <w:szCs w:val="28"/>
        </w:rPr>
        <w:t>六、商务部分；</w:t>
      </w:r>
    </w:p>
    <w:p>
      <w:pPr>
        <w:spacing w:line="276" w:lineRule="auto"/>
        <w:rPr>
          <w:rFonts w:ascii="宋体"/>
          <w:b/>
          <w:bCs/>
          <w:color w:val="000000"/>
          <w:sz w:val="28"/>
          <w:szCs w:val="28"/>
        </w:rPr>
      </w:pPr>
      <w:r>
        <w:rPr>
          <w:rFonts w:hint="eastAsia" w:ascii="宋体" w:cs="宋体"/>
          <w:b/>
          <w:bCs/>
          <w:color w:val="000000"/>
          <w:sz w:val="28"/>
          <w:szCs w:val="28"/>
        </w:rPr>
        <w:t>七、其它须说明材料。</w:t>
      </w:r>
    </w:p>
    <w:p>
      <w:pPr>
        <w:spacing w:line="276" w:lineRule="auto"/>
        <w:rPr>
          <w:rFonts w:ascii="宋体"/>
          <w:b/>
          <w:bCs/>
          <w:color w:val="000000"/>
          <w:sz w:val="28"/>
          <w:szCs w:val="28"/>
        </w:rPr>
      </w:pPr>
      <w:r>
        <w:rPr>
          <w:rFonts w:hint="eastAsia" w:ascii="宋体" w:cs="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8</w:t>
    </w:r>
    <w:r>
      <w:rPr>
        <w:lang w:val="zh-CN"/>
      </w:rPr>
      <w:fldChar w:fldCharType="end"/>
    </w:r>
    <w:r>
      <w:rPr>
        <w:rFonts w:hint="eastAsia" w:cs="宋体"/>
      </w:rPr>
      <w:t>页，共</w:t>
    </w:r>
    <w:r>
      <w:t>15</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21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2579D"/>
    <w:rsid w:val="000023EB"/>
    <w:rsid w:val="0001193F"/>
    <w:rsid w:val="000133D0"/>
    <w:rsid w:val="00024231"/>
    <w:rsid w:val="00031FE1"/>
    <w:rsid w:val="00036F66"/>
    <w:rsid w:val="000461A9"/>
    <w:rsid w:val="000766DE"/>
    <w:rsid w:val="000825D7"/>
    <w:rsid w:val="00082F53"/>
    <w:rsid w:val="00083333"/>
    <w:rsid w:val="000835B3"/>
    <w:rsid w:val="0008411F"/>
    <w:rsid w:val="00084B4F"/>
    <w:rsid w:val="000856BE"/>
    <w:rsid w:val="000A1433"/>
    <w:rsid w:val="000A42DA"/>
    <w:rsid w:val="000A7EC4"/>
    <w:rsid w:val="000B0DCC"/>
    <w:rsid w:val="000D0E07"/>
    <w:rsid w:val="000E16A1"/>
    <w:rsid w:val="000E1F77"/>
    <w:rsid w:val="000E202C"/>
    <w:rsid w:val="000E2ECD"/>
    <w:rsid w:val="000F264B"/>
    <w:rsid w:val="000F39AC"/>
    <w:rsid w:val="000F6CEE"/>
    <w:rsid w:val="0010001E"/>
    <w:rsid w:val="00103DE0"/>
    <w:rsid w:val="001135C7"/>
    <w:rsid w:val="00122000"/>
    <w:rsid w:val="00126323"/>
    <w:rsid w:val="001406ED"/>
    <w:rsid w:val="00161E43"/>
    <w:rsid w:val="0016580F"/>
    <w:rsid w:val="001752BD"/>
    <w:rsid w:val="00186025"/>
    <w:rsid w:val="00194389"/>
    <w:rsid w:val="001A60DC"/>
    <w:rsid w:val="001B74BF"/>
    <w:rsid w:val="001C6F03"/>
    <w:rsid w:val="001D2FE8"/>
    <w:rsid w:val="001F4C5F"/>
    <w:rsid w:val="00202EB2"/>
    <w:rsid w:val="00203767"/>
    <w:rsid w:val="00203815"/>
    <w:rsid w:val="0020584A"/>
    <w:rsid w:val="00214E8B"/>
    <w:rsid w:val="00222489"/>
    <w:rsid w:val="00244BBF"/>
    <w:rsid w:val="00271D04"/>
    <w:rsid w:val="00272ED9"/>
    <w:rsid w:val="00286F12"/>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4548"/>
    <w:rsid w:val="00306D9B"/>
    <w:rsid w:val="00313F53"/>
    <w:rsid w:val="00321F49"/>
    <w:rsid w:val="0033168D"/>
    <w:rsid w:val="00333907"/>
    <w:rsid w:val="00336919"/>
    <w:rsid w:val="00350329"/>
    <w:rsid w:val="003643AD"/>
    <w:rsid w:val="00372829"/>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2614"/>
    <w:rsid w:val="00442C03"/>
    <w:rsid w:val="00451B3A"/>
    <w:rsid w:val="004524D4"/>
    <w:rsid w:val="00452B93"/>
    <w:rsid w:val="00453C39"/>
    <w:rsid w:val="004603D6"/>
    <w:rsid w:val="004717A9"/>
    <w:rsid w:val="004838ED"/>
    <w:rsid w:val="00496A0A"/>
    <w:rsid w:val="004A3BC0"/>
    <w:rsid w:val="004B445D"/>
    <w:rsid w:val="004B4716"/>
    <w:rsid w:val="004C771E"/>
    <w:rsid w:val="004D29E8"/>
    <w:rsid w:val="004D4189"/>
    <w:rsid w:val="004E293D"/>
    <w:rsid w:val="004F64CA"/>
    <w:rsid w:val="004F7251"/>
    <w:rsid w:val="004F7B00"/>
    <w:rsid w:val="005002B4"/>
    <w:rsid w:val="005115BF"/>
    <w:rsid w:val="00511E18"/>
    <w:rsid w:val="005203FE"/>
    <w:rsid w:val="00525B38"/>
    <w:rsid w:val="00530BDE"/>
    <w:rsid w:val="005311DE"/>
    <w:rsid w:val="00540CB8"/>
    <w:rsid w:val="00541069"/>
    <w:rsid w:val="005456D6"/>
    <w:rsid w:val="0055230B"/>
    <w:rsid w:val="00557762"/>
    <w:rsid w:val="0058698D"/>
    <w:rsid w:val="00591C89"/>
    <w:rsid w:val="005929AC"/>
    <w:rsid w:val="0059519E"/>
    <w:rsid w:val="005A1A53"/>
    <w:rsid w:val="005A600A"/>
    <w:rsid w:val="005A6F21"/>
    <w:rsid w:val="005B1311"/>
    <w:rsid w:val="005C4EDE"/>
    <w:rsid w:val="005D1ED8"/>
    <w:rsid w:val="005D5988"/>
    <w:rsid w:val="005E24A6"/>
    <w:rsid w:val="005E77B7"/>
    <w:rsid w:val="005F06E0"/>
    <w:rsid w:val="005F6FAE"/>
    <w:rsid w:val="005F7759"/>
    <w:rsid w:val="00600E12"/>
    <w:rsid w:val="00605FAD"/>
    <w:rsid w:val="0061033A"/>
    <w:rsid w:val="00623998"/>
    <w:rsid w:val="00631B92"/>
    <w:rsid w:val="006369DA"/>
    <w:rsid w:val="0064575E"/>
    <w:rsid w:val="00650DE0"/>
    <w:rsid w:val="00651B85"/>
    <w:rsid w:val="00660656"/>
    <w:rsid w:val="00663B12"/>
    <w:rsid w:val="006643B9"/>
    <w:rsid w:val="00673FAD"/>
    <w:rsid w:val="00681793"/>
    <w:rsid w:val="006916F8"/>
    <w:rsid w:val="00695192"/>
    <w:rsid w:val="006A03AB"/>
    <w:rsid w:val="006B62DB"/>
    <w:rsid w:val="006C4A11"/>
    <w:rsid w:val="006E047B"/>
    <w:rsid w:val="006E122E"/>
    <w:rsid w:val="006E1E16"/>
    <w:rsid w:val="006E22F5"/>
    <w:rsid w:val="00707A70"/>
    <w:rsid w:val="0071046A"/>
    <w:rsid w:val="00724FD5"/>
    <w:rsid w:val="00726136"/>
    <w:rsid w:val="007368FF"/>
    <w:rsid w:val="00740DCE"/>
    <w:rsid w:val="00744DB4"/>
    <w:rsid w:val="007457AE"/>
    <w:rsid w:val="00746489"/>
    <w:rsid w:val="00747C28"/>
    <w:rsid w:val="00755B37"/>
    <w:rsid w:val="0076467E"/>
    <w:rsid w:val="00765667"/>
    <w:rsid w:val="00766D84"/>
    <w:rsid w:val="00770196"/>
    <w:rsid w:val="007817B7"/>
    <w:rsid w:val="00785BBC"/>
    <w:rsid w:val="007A2CE2"/>
    <w:rsid w:val="007B43AA"/>
    <w:rsid w:val="007B66A7"/>
    <w:rsid w:val="007C483D"/>
    <w:rsid w:val="007C76F9"/>
    <w:rsid w:val="007D5441"/>
    <w:rsid w:val="007E2F4C"/>
    <w:rsid w:val="007E550F"/>
    <w:rsid w:val="007F7CD2"/>
    <w:rsid w:val="0080096B"/>
    <w:rsid w:val="0081058E"/>
    <w:rsid w:val="00810C5C"/>
    <w:rsid w:val="008147AD"/>
    <w:rsid w:val="00841C51"/>
    <w:rsid w:val="008706A2"/>
    <w:rsid w:val="00874BAC"/>
    <w:rsid w:val="008800FD"/>
    <w:rsid w:val="00881C75"/>
    <w:rsid w:val="0088217B"/>
    <w:rsid w:val="008846EB"/>
    <w:rsid w:val="00890665"/>
    <w:rsid w:val="008912CC"/>
    <w:rsid w:val="00895292"/>
    <w:rsid w:val="008A0C35"/>
    <w:rsid w:val="008A12E1"/>
    <w:rsid w:val="008A21DD"/>
    <w:rsid w:val="008B172F"/>
    <w:rsid w:val="008B208B"/>
    <w:rsid w:val="008B21A4"/>
    <w:rsid w:val="008C3DC0"/>
    <w:rsid w:val="008C5A6E"/>
    <w:rsid w:val="008D16BC"/>
    <w:rsid w:val="008D2702"/>
    <w:rsid w:val="008D27A9"/>
    <w:rsid w:val="008E1560"/>
    <w:rsid w:val="008E5B94"/>
    <w:rsid w:val="008F2CCE"/>
    <w:rsid w:val="008F57D6"/>
    <w:rsid w:val="00927A2A"/>
    <w:rsid w:val="00930E37"/>
    <w:rsid w:val="00931606"/>
    <w:rsid w:val="009506B4"/>
    <w:rsid w:val="00951BBD"/>
    <w:rsid w:val="0098511C"/>
    <w:rsid w:val="009874B1"/>
    <w:rsid w:val="00992402"/>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2198"/>
    <w:rsid w:val="00A877FD"/>
    <w:rsid w:val="00A91DB7"/>
    <w:rsid w:val="00A94187"/>
    <w:rsid w:val="00A97D36"/>
    <w:rsid w:val="00AA4BBA"/>
    <w:rsid w:val="00AA7419"/>
    <w:rsid w:val="00AD557A"/>
    <w:rsid w:val="00AD5596"/>
    <w:rsid w:val="00AE384B"/>
    <w:rsid w:val="00AF5A98"/>
    <w:rsid w:val="00B0736F"/>
    <w:rsid w:val="00B133BA"/>
    <w:rsid w:val="00B161B8"/>
    <w:rsid w:val="00B2182E"/>
    <w:rsid w:val="00B25798"/>
    <w:rsid w:val="00B2579D"/>
    <w:rsid w:val="00B272DC"/>
    <w:rsid w:val="00B33C2A"/>
    <w:rsid w:val="00B371C9"/>
    <w:rsid w:val="00B668C4"/>
    <w:rsid w:val="00B679AC"/>
    <w:rsid w:val="00B73ED4"/>
    <w:rsid w:val="00B75A28"/>
    <w:rsid w:val="00B90607"/>
    <w:rsid w:val="00B944F6"/>
    <w:rsid w:val="00BA0D29"/>
    <w:rsid w:val="00BB1BBB"/>
    <w:rsid w:val="00BB3834"/>
    <w:rsid w:val="00BB6C35"/>
    <w:rsid w:val="00BC49A0"/>
    <w:rsid w:val="00BD1AE3"/>
    <w:rsid w:val="00BD23CB"/>
    <w:rsid w:val="00BD29F3"/>
    <w:rsid w:val="00BE4A57"/>
    <w:rsid w:val="00BF09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F2BE1"/>
    <w:rsid w:val="00D0646F"/>
    <w:rsid w:val="00D07639"/>
    <w:rsid w:val="00D21ABB"/>
    <w:rsid w:val="00D252EA"/>
    <w:rsid w:val="00D3043C"/>
    <w:rsid w:val="00D351BE"/>
    <w:rsid w:val="00D40BB0"/>
    <w:rsid w:val="00D50F35"/>
    <w:rsid w:val="00D5293C"/>
    <w:rsid w:val="00D541EE"/>
    <w:rsid w:val="00D63A2E"/>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26132"/>
    <w:rsid w:val="00E32925"/>
    <w:rsid w:val="00E33DE3"/>
    <w:rsid w:val="00E369B2"/>
    <w:rsid w:val="00E53FC3"/>
    <w:rsid w:val="00E5408E"/>
    <w:rsid w:val="00E61500"/>
    <w:rsid w:val="00E61A4D"/>
    <w:rsid w:val="00E65C6B"/>
    <w:rsid w:val="00E7645B"/>
    <w:rsid w:val="00E8012C"/>
    <w:rsid w:val="00E82B51"/>
    <w:rsid w:val="00E92829"/>
    <w:rsid w:val="00E94C8F"/>
    <w:rsid w:val="00E969B5"/>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484A"/>
    <w:rsid w:val="00FB50C9"/>
    <w:rsid w:val="00FB5E87"/>
    <w:rsid w:val="00FC001F"/>
    <w:rsid w:val="00FE0355"/>
    <w:rsid w:val="00FE4545"/>
    <w:rsid w:val="00FF02E4"/>
    <w:rsid w:val="00FF0575"/>
    <w:rsid w:val="00FF6A41"/>
    <w:rsid w:val="01D65AC4"/>
    <w:rsid w:val="020F7B7E"/>
    <w:rsid w:val="023C63A0"/>
    <w:rsid w:val="0290244B"/>
    <w:rsid w:val="02A26AC8"/>
    <w:rsid w:val="02A34382"/>
    <w:rsid w:val="02A824AD"/>
    <w:rsid w:val="02AD1871"/>
    <w:rsid w:val="02E910D4"/>
    <w:rsid w:val="02F5745D"/>
    <w:rsid w:val="0372620B"/>
    <w:rsid w:val="04021749"/>
    <w:rsid w:val="041A1188"/>
    <w:rsid w:val="043F24B9"/>
    <w:rsid w:val="053718C6"/>
    <w:rsid w:val="07215270"/>
    <w:rsid w:val="07317410"/>
    <w:rsid w:val="0736405C"/>
    <w:rsid w:val="07516F96"/>
    <w:rsid w:val="080C0DE8"/>
    <w:rsid w:val="087C4F5C"/>
    <w:rsid w:val="097F55EA"/>
    <w:rsid w:val="098C7AFA"/>
    <w:rsid w:val="0A1F167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3B36E73"/>
    <w:rsid w:val="14143F98"/>
    <w:rsid w:val="143860A5"/>
    <w:rsid w:val="14F859BF"/>
    <w:rsid w:val="15A00DC2"/>
    <w:rsid w:val="16201F02"/>
    <w:rsid w:val="16C805D0"/>
    <w:rsid w:val="16CC4D1F"/>
    <w:rsid w:val="16D72F09"/>
    <w:rsid w:val="16F811DF"/>
    <w:rsid w:val="16FB0935"/>
    <w:rsid w:val="174C3A8E"/>
    <w:rsid w:val="18736C61"/>
    <w:rsid w:val="19FC3D38"/>
    <w:rsid w:val="1A230ABD"/>
    <w:rsid w:val="1BC550A1"/>
    <w:rsid w:val="1C62271C"/>
    <w:rsid w:val="1CFC037B"/>
    <w:rsid w:val="1D2351D3"/>
    <w:rsid w:val="1DE40BB0"/>
    <w:rsid w:val="1DE83057"/>
    <w:rsid w:val="1E1C18CC"/>
    <w:rsid w:val="1E4B7F4E"/>
    <w:rsid w:val="1E63121F"/>
    <w:rsid w:val="1F1D69EF"/>
    <w:rsid w:val="20191F97"/>
    <w:rsid w:val="204750FD"/>
    <w:rsid w:val="20B61DE1"/>
    <w:rsid w:val="21156FBC"/>
    <w:rsid w:val="21DE344B"/>
    <w:rsid w:val="22387500"/>
    <w:rsid w:val="22A7378F"/>
    <w:rsid w:val="22B866EA"/>
    <w:rsid w:val="22C57779"/>
    <w:rsid w:val="22D078AB"/>
    <w:rsid w:val="22D700DE"/>
    <w:rsid w:val="24BB461A"/>
    <w:rsid w:val="263B1E7B"/>
    <w:rsid w:val="264F60C2"/>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DEC46A0"/>
    <w:rsid w:val="2ED41B91"/>
    <w:rsid w:val="2EEE547C"/>
    <w:rsid w:val="2F7B5E64"/>
    <w:rsid w:val="2F997048"/>
    <w:rsid w:val="316C6A6B"/>
    <w:rsid w:val="31AF3F03"/>
    <w:rsid w:val="31EA5447"/>
    <w:rsid w:val="31EF3CA3"/>
    <w:rsid w:val="32056724"/>
    <w:rsid w:val="3284631A"/>
    <w:rsid w:val="32D305D1"/>
    <w:rsid w:val="336D071C"/>
    <w:rsid w:val="342F3A72"/>
    <w:rsid w:val="34710344"/>
    <w:rsid w:val="357A2F85"/>
    <w:rsid w:val="358856A2"/>
    <w:rsid w:val="35DC02B1"/>
    <w:rsid w:val="364A6DFC"/>
    <w:rsid w:val="36C645B7"/>
    <w:rsid w:val="37283C9F"/>
    <w:rsid w:val="37712ACA"/>
    <w:rsid w:val="377A733E"/>
    <w:rsid w:val="37814F08"/>
    <w:rsid w:val="380D6333"/>
    <w:rsid w:val="3969127A"/>
    <w:rsid w:val="39E56E8F"/>
    <w:rsid w:val="39F01A68"/>
    <w:rsid w:val="3A5B4063"/>
    <w:rsid w:val="3CD70CBD"/>
    <w:rsid w:val="3DAB2EE2"/>
    <w:rsid w:val="3E412892"/>
    <w:rsid w:val="3E7964D0"/>
    <w:rsid w:val="3EB8653D"/>
    <w:rsid w:val="403C57B3"/>
    <w:rsid w:val="40743897"/>
    <w:rsid w:val="41B11ADD"/>
    <w:rsid w:val="41D35EF7"/>
    <w:rsid w:val="423B584A"/>
    <w:rsid w:val="430F11B1"/>
    <w:rsid w:val="43413CD0"/>
    <w:rsid w:val="439711A6"/>
    <w:rsid w:val="43C37F59"/>
    <w:rsid w:val="43D75451"/>
    <w:rsid w:val="43F81C45"/>
    <w:rsid w:val="440466DE"/>
    <w:rsid w:val="4498417F"/>
    <w:rsid w:val="44D3620E"/>
    <w:rsid w:val="44DE52DF"/>
    <w:rsid w:val="462D2AFF"/>
    <w:rsid w:val="464473C4"/>
    <w:rsid w:val="46ED5A14"/>
    <w:rsid w:val="46FA4001"/>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BC87537"/>
    <w:rsid w:val="4C113CC0"/>
    <w:rsid w:val="4C96395A"/>
    <w:rsid w:val="4D07739D"/>
    <w:rsid w:val="4D080512"/>
    <w:rsid w:val="4DCD139D"/>
    <w:rsid w:val="4DF62510"/>
    <w:rsid w:val="4F111F8F"/>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C681FCB"/>
    <w:rsid w:val="5D001B3A"/>
    <w:rsid w:val="5D2418A5"/>
    <w:rsid w:val="5D3D3753"/>
    <w:rsid w:val="5E2C6C63"/>
    <w:rsid w:val="5E351360"/>
    <w:rsid w:val="5F3833E6"/>
    <w:rsid w:val="5F7E1B3E"/>
    <w:rsid w:val="603F0748"/>
    <w:rsid w:val="60A800F7"/>
    <w:rsid w:val="60AA5E68"/>
    <w:rsid w:val="61303617"/>
    <w:rsid w:val="61381005"/>
    <w:rsid w:val="61857110"/>
    <w:rsid w:val="62742987"/>
    <w:rsid w:val="62A41BB4"/>
    <w:rsid w:val="62E717D1"/>
    <w:rsid w:val="64686F03"/>
    <w:rsid w:val="661F1431"/>
    <w:rsid w:val="667062F3"/>
    <w:rsid w:val="667C1E0A"/>
    <w:rsid w:val="66D0043C"/>
    <w:rsid w:val="67F53CE1"/>
    <w:rsid w:val="68287D17"/>
    <w:rsid w:val="691C78D4"/>
    <w:rsid w:val="69D92DC0"/>
    <w:rsid w:val="6A106C14"/>
    <w:rsid w:val="6A3C7219"/>
    <w:rsid w:val="6A87412E"/>
    <w:rsid w:val="6AF71B23"/>
    <w:rsid w:val="6B021140"/>
    <w:rsid w:val="6B62453E"/>
    <w:rsid w:val="6B9F3035"/>
    <w:rsid w:val="6CB542C8"/>
    <w:rsid w:val="6DD662A4"/>
    <w:rsid w:val="6E071855"/>
    <w:rsid w:val="70D0428E"/>
    <w:rsid w:val="70E70ADA"/>
    <w:rsid w:val="70F317D8"/>
    <w:rsid w:val="73634A7D"/>
    <w:rsid w:val="737F18E2"/>
    <w:rsid w:val="739369E5"/>
    <w:rsid w:val="745D75EB"/>
    <w:rsid w:val="747E1443"/>
    <w:rsid w:val="74D80B53"/>
    <w:rsid w:val="75110DA7"/>
    <w:rsid w:val="751B05C3"/>
    <w:rsid w:val="75CA2B92"/>
    <w:rsid w:val="76655B13"/>
    <w:rsid w:val="77C06F53"/>
    <w:rsid w:val="78EA2879"/>
    <w:rsid w:val="79915775"/>
    <w:rsid w:val="79A05249"/>
    <w:rsid w:val="7AA23D21"/>
    <w:rsid w:val="7B89570D"/>
    <w:rsid w:val="7C0D4D3D"/>
    <w:rsid w:val="7CE42605"/>
    <w:rsid w:val="7D562123"/>
    <w:rsid w:val="7D637428"/>
    <w:rsid w:val="7E2D63B4"/>
    <w:rsid w:val="7F17496E"/>
    <w:rsid w:val="7F756C86"/>
    <w:rsid w:val="7FA04963"/>
    <w:rsid w:val="7FCE14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2"/>
    <w:qFormat/>
    <w:uiPriority w:val="99"/>
    <w:pPr>
      <w:keepNext/>
      <w:keepLines/>
      <w:spacing w:before="260" w:after="260" w:line="413" w:lineRule="auto"/>
      <w:outlineLvl w:val="2"/>
    </w:pPr>
    <w:rPr>
      <w:b/>
      <w:bCs/>
      <w:sz w:val="32"/>
      <w:szCs w:val="32"/>
    </w:rPr>
  </w:style>
  <w:style w:type="paragraph" w:styleId="5">
    <w:name w:val="heading 4"/>
    <w:basedOn w:val="1"/>
    <w:next w:val="1"/>
    <w:link w:val="23"/>
    <w:qFormat/>
    <w:uiPriority w:val="99"/>
    <w:pPr>
      <w:keepNext/>
      <w:keepLines/>
      <w:spacing w:before="280" w:after="290" w:line="376" w:lineRule="auto"/>
      <w:outlineLvl w:val="3"/>
    </w:pPr>
    <w:rPr>
      <w:rFonts w:ascii="Cambria" w:hAnsi="Cambria" w:cs="Cambria"/>
      <w:b/>
      <w:bCs/>
      <w:sz w:val="28"/>
      <w:szCs w:val="28"/>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rPr>
      <w:rFonts w:ascii="宋体" w:hAnsi="宋体" w:cs="宋体"/>
      <w:sz w:val="28"/>
      <w:szCs w:val="28"/>
    </w:rPr>
  </w:style>
  <w:style w:type="paragraph" w:styleId="6">
    <w:name w:val="annotation text"/>
    <w:basedOn w:val="1"/>
    <w:link w:val="25"/>
    <w:semiHidden/>
    <w:qFormat/>
    <w:uiPriority w:val="99"/>
    <w:pPr>
      <w:jc w:val="left"/>
    </w:pPr>
  </w:style>
  <w:style w:type="paragraph" w:styleId="7">
    <w:name w:val="Body Text Indent"/>
    <w:basedOn w:val="1"/>
    <w:link w:val="26"/>
    <w:qFormat/>
    <w:uiPriority w:val="99"/>
    <w:pPr>
      <w:spacing w:after="120"/>
      <w:ind w:left="420" w:leftChars="200"/>
    </w:pPr>
  </w:style>
  <w:style w:type="paragraph" w:styleId="8">
    <w:name w:val="List 2"/>
    <w:basedOn w:val="1"/>
    <w:qFormat/>
    <w:uiPriority w:val="99"/>
    <w:pPr>
      <w:spacing w:after="200" w:line="276" w:lineRule="auto"/>
      <w:ind w:left="100" w:leftChars="200" w:hanging="200" w:hangingChars="200"/>
      <w:jc w:val="left"/>
    </w:pPr>
    <w:rPr>
      <w:rFonts w:ascii="Calibri" w:hAnsi="Calibri" w:cs="Calibri"/>
      <w:kern w:val="0"/>
      <w:sz w:val="28"/>
      <w:szCs w:val="28"/>
      <w:lang w:eastAsia="en-US"/>
    </w:rPr>
  </w:style>
  <w:style w:type="paragraph" w:styleId="9">
    <w:name w:val="Date"/>
    <w:basedOn w:val="1"/>
    <w:next w:val="1"/>
    <w:link w:val="27"/>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9"/>
    <w:semiHidden/>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7"/>
    <w:link w:val="32"/>
    <w:qFormat/>
    <w:locked/>
    <w:uiPriority w:val="99"/>
    <w:pPr>
      <w:ind w:firstLine="420" w:firstLineChars="200"/>
    </w:pPr>
  </w:style>
  <w:style w:type="table" w:styleId="17">
    <w:name w:val="Table Grid"/>
    <w:basedOn w:val="1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qFormat/>
    <w:uiPriority w:val="99"/>
    <w:rPr>
      <w:color w:val="0000FF"/>
      <w:u w:val="single"/>
    </w:rPr>
  </w:style>
  <w:style w:type="character" w:customStyle="1" w:styleId="21">
    <w:name w:val="Heading 2 Char"/>
    <w:basedOn w:val="18"/>
    <w:link w:val="3"/>
    <w:qFormat/>
    <w:locked/>
    <w:uiPriority w:val="99"/>
    <w:rPr>
      <w:rFonts w:ascii="Cambria" w:hAnsi="Cambria" w:eastAsia="宋体" w:cs="Cambria"/>
      <w:b/>
      <w:bCs/>
      <w:sz w:val="32"/>
      <w:szCs w:val="32"/>
    </w:rPr>
  </w:style>
  <w:style w:type="character" w:customStyle="1" w:styleId="22">
    <w:name w:val="Heading 3 Char"/>
    <w:basedOn w:val="18"/>
    <w:link w:val="4"/>
    <w:qFormat/>
    <w:locked/>
    <w:uiPriority w:val="99"/>
    <w:rPr>
      <w:rFonts w:ascii="Times New Roman" w:hAnsi="Times New Roman" w:eastAsia="宋体" w:cs="Times New Roman"/>
      <w:b/>
      <w:bCs/>
      <w:sz w:val="32"/>
      <w:szCs w:val="32"/>
    </w:rPr>
  </w:style>
  <w:style w:type="character" w:customStyle="1" w:styleId="23">
    <w:name w:val="Heading 4 Char"/>
    <w:basedOn w:val="18"/>
    <w:link w:val="5"/>
    <w:semiHidden/>
    <w:qFormat/>
    <w:locked/>
    <w:uiPriority w:val="99"/>
    <w:rPr>
      <w:rFonts w:ascii="Cambria" w:hAnsi="Cambria" w:eastAsia="宋体" w:cs="Cambria"/>
      <w:b/>
      <w:bCs/>
      <w:kern w:val="2"/>
      <w:sz w:val="28"/>
      <w:szCs w:val="28"/>
    </w:rPr>
  </w:style>
  <w:style w:type="character" w:customStyle="1" w:styleId="24">
    <w:name w:val="Body Text Char"/>
    <w:basedOn w:val="18"/>
    <w:link w:val="2"/>
    <w:qFormat/>
    <w:locked/>
    <w:uiPriority w:val="99"/>
    <w:rPr>
      <w:rFonts w:ascii="宋体" w:hAnsi="宋体" w:eastAsia="宋体" w:cs="宋体"/>
      <w:sz w:val="28"/>
      <w:szCs w:val="28"/>
    </w:rPr>
  </w:style>
  <w:style w:type="character" w:customStyle="1" w:styleId="25">
    <w:name w:val="Comment Text Char"/>
    <w:basedOn w:val="18"/>
    <w:link w:val="6"/>
    <w:semiHidden/>
    <w:qFormat/>
    <w:locked/>
    <w:uiPriority w:val="99"/>
    <w:rPr>
      <w:rFonts w:ascii="Times New Roman" w:hAnsi="Times New Roman" w:cs="Times New Roman"/>
      <w:sz w:val="21"/>
      <w:szCs w:val="21"/>
    </w:rPr>
  </w:style>
  <w:style w:type="character" w:customStyle="1" w:styleId="26">
    <w:name w:val="Body Text Indent Char"/>
    <w:basedOn w:val="18"/>
    <w:link w:val="7"/>
    <w:qFormat/>
    <w:locked/>
    <w:uiPriority w:val="99"/>
    <w:rPr>
      <w:rFonts w:ascii="Times New Roman" w:hAnsi="Times New Roman" w:eastAsia="宋体" w:cs="Times New Roman"/>
      <w:sz w:val="21"/>
      <w:szCs w:val="21"/>
    </w:rPr>
  </w:style>
  <w:style w:type="character" w:customStyle="1" w:styleId="27">
    <w:name w:val="Date Char"/>
    <w:basedOn w:val="18"/>
    <w:link w:val="9"/>
    <w:qFormat/>
    <w:locked/>
    <w:uiPriority w:val="99"/>
    <w:rPr>
      <w:rFonts w:ascii="Times New Roman" w:hAnsi="Times New Roman" w:eastAsia="宋体" w:cs="Times New Roman"/>
      <w:sz w:val="21"/>
      <w:szCs w:val="21"/>
    </w:rPr>
  </w:style>
  <w:style w:type="character" w:customStyle="1" w:styleId="28">
    <w:name w:val="Body Text Indent 2 Char"/>
    <w:basedOn w:val="18"/>
    <w:link w:val="10"/>
    <w:qFormat/>
    <w:locked/>
    <w:uiPriority w:val="99"/>
    <w:rPr>
      <w:rFonts w:ascii="Times New Roman" w:hAnsi="Times New Roman" w:eastAsia="宋体" w:cs="Times New Roman"/>
      <w:sz w:val="21"/>
      <w:szCs w:val="21"/>
    </w:rPr>
  </w:style>
  <w:style w:type="character" w:customStyle="1" w:styleId="29">
    <w:name w:val="Balloon Text Char"/>
    <w:basedOn w:val="18"/>
    <w:link w:val="11"/>
    <w:qFormat/>
    <w:locked/>
    <w:uiPriority w:val="99"/>
    <w:rPr>
      <w:rFonts w:ascii="Times New Roman" w:hAnsi="Times New Roman" w:eastAsia="宋体" w:cs="Times New Roman"/>
      <w:sz w:val="18"/>
      <w:szCs w:val="18"/>
    </w:rPr>
  </w:style>
  <w:style w:type="character" w:customStyle="1" w:styleId="30">
    <w:name w:val="Footer Char"/>
    <w:basedOn w:val="18"/>
    <w:link w:val="12"/>
    <w:qFormat/>
    <w:locked/>
    <w:uiPriority w:val="99"/>
    <w:rPr>
      <w:sz w:val="18"/>
      <w:szCs w:val="18"/>
    </w:rPr>
  </w:style>
  <w:style w:type="character" w:customStyle="1" w:styleId="31">
    <w:name w:val="Header Char"/>
    <w:basedOn w:val="18"/>
    <w:link w:val="13"/>
    <w:qFormat/>
    <w:locked/>
    <w:uiPriority w:val="99"/>
    <w:rPr>
      <w:sz w:val="18"/>
      <w:szCs w:val="18"/>
    </w:rPr>
  </w:style>
  <w:style w:type="character" w:customStyle="1" w:styleId="32">
    <w:name w:val="Body Text First Indent 2 Char"/>
    <w:basedOn w:val="26"/>
    <w:link w:val="15"/>
    <w:semiHidden/>
    <w:qFormat/>
    <w:uiPriority w:val="99"/>
  </w:style>
  <w:style w:type="paragraph" w:customStyle="1" w:styleId="33">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34">
    <w:name w:val="附件标题-1"/>
    <w:basedOn w:val="1"/>
    <w:qFormat/>
    <w:uiPriority w:val="99"/>
    <w:pPr>
      <w:spacing w:beforeLines="50" w:afterLines="50"/>
      <w:jc w:val="center"/>
    </w:pPr>
    <w:rPr>
      <w:rFonts w:eastAsia="黑体"/>
      <w:sz w:val="32"/>
      <w:szCs w:val="32"/>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6">
    <w:name w:val="CM1"/>
    <w:basedOn w:val="35"/>
    <w:next w:val="35"/>
    <w:qFormat/>
    <w:uiPriority w:val="99"/>
    <w:rPr>
      <w:color w:val="auto"/>
    </w:rPr>
  </w:style>
  <w:style w:type="paragraph" w:styleId="37">
    <w:name w:val="List Paragraph"/>
    <w:basedOn w:val="1"/>
    <w:qFormat/>
    <w:uiPriority w:val="99"/>
    <w:pPr>
      <w:ind w:firstLine="420" w:firstLineChars="200"/>
    </w:pPr>
  </w:style>
  <w:style w:type="paragraph" w:customStyle="1" w:styleId="38">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39">
    <w:name w:val="正文--2字符首行缩进"/>
    <w:basedOn w:val="1"/>
    <w:qFormat/>
    <w:uiPriority w:val="99"/>
    <w:pPr>
      <w:widowControl/>
      <w:snapToGrid w:val="0"/>
      <w:spacing w:after="200" w:line="360" w:lineRule="auto"/>
      <w:ind w:firstLine="560" w:firstLineChars="200"/>
      <w:jc w:val="left"/>
    </w:pPr>
    <w:rPr>
      <w:rFonts w:ascii="仿宋_GB2312" w:hAnsi="宋体" w:eastAsia="仿宋_GB2312" w:cs="仿宋_GB2312"/>
      <w:kern w:val="0"/>
      <w:sz w:val="28"/>
      <w:szCs w:val="28"/>
      <w:lang w:eastAsia="en-US"/>
    </w:rPr>
  </w:style>
  <w:style w:type="character" w:customStyle="1" w:styleId="40">
    <w:name w:val="font01"/>
    <w:basedOn w:val="18"/>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5188</Words>
  <Characters>5400</Characters>
  <Lines>0</Lines>
  <Paragraphs>0</Paragraphs>
  <TotalTime>5</TotalTime>
  <ScaleCrop>false</ScaleCrop>
  <LinksUpToDate>false</LinksUpToDate>
  <CharactersWithSpaces>6304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2022-03-14T02:58:00Z</dcterms:created>
  <dc:creator>admin</dc:creator>
  <cp:lastModifiedBy>QY~勇</cp:lastModifiedBy>
  <cp:lastPrinted>2023-06-27T09:22:00Z</cp:lastPrinted>
  <dcterms:modified xsi:type="dcterms:W3CDTF">2023-07-07T01:01:29Z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2052-11.1.0.14309</vt:lpwstr>
  </property>
</Properties>
</file>