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重钢总医院医疗责任险项目 </w:t>
      </w:r>
      <w:r>
        <w:rPr>
          <w:rFonts w:hint="eastAsia"/>
          <w:b/>
          <w:sz w:val="28"/>
          <w:szCs w:val="28"/>
          <w:u w:val="single"/>
        </w:rPr>
        <w:t xml:space="preserve"> </w:t>
      </w:r>
    </w:p>
    <w:p>
      <w:pPr>
        <w:spacing w:line="800" w:lineRule="exact"/>
        <w:jc w:val="center"/>
        <w:rPr>
          <w:color w:val="auto"/>
          <w:sz w:val="28"/>
          <w:szCs w:val="28"/>
        </w:rPr>
      </w:pPr>
      <w:r>
        <w:rPr>
          <w:rFonts w:hint="eastAsia"/>
          <w:color w:val="auto"/>
          <w:sz w:val="28"/>
          <w:szCs w:val="28"/>
        </w:rPr>
        <w:t>（项目编号：</w:t>
      </w:r>
      <w:r>
        <w:rPr>
          <w:color w:val="auto"/>
          <w:sz w:val="28"/>
          <w:szCs w:val="28"/>
          <w:u w:val="single"/>
        </w:rPr>
        <w:t xml:space="preserve">    CGZYYCG2023</w:t>
      </w:r>
      <w:r>
        <w:rPr>
          <w:rFonts w:hint="eastAsia"/>
          <w:color w:val="auto"/>
          <w:sz w:val="28"/>
          <w:szCs w:val="28"/>
          <w:u w:val="single"/>
          <w:lang w:val="en-US" w:eastAsia="zh-CN"/>
        </w:rPr>
        <w:t>22</w:t>
      </w:r>
      <w:r>
        <w:rPr>
          <w:color w:val="auto"/>
          <w:sz w:val="28"/>
          <w:szCs w:val="28"/>
          <w:u w:val="single"/>
        </w:rPr>
        <w:t xml:space="preserve">   </w:t>
      </w:r>
      <w:r>
        <w:rPr>
          <w:rFonts w:hint="eastAsia"/>
          <w:color w:val="auto"/>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2023年8月</w:t>
      </w:r>
      <w:r>
        <w:rPr>
          <w:rFonts w:hint="eastAsia" w:ascii="宋体" w:hAnsi="宋体"/>
          <w:color w:val="auto"/>
          <w:sz w:val="28"/>
          <w:szCs w:val="28"/>
          <w:lang w:val="en-US" w:eastAsia="zh-CN"/>
        </w:rPr>
        <w:t>23</w:t>
      </w:r>
      <w:r>
        <w:rPr>
          <w:rFonts w:hint="eastAsia" w:ascii="宋体" w:hAnsi="宋体"/>
          <w:color w:val="auto"/>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重钢总医院医疗责任险项目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重钢总医院拟对重钢总医院医疗责任险项目进行比选。欢迎有合法资质的单位前来参选。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：重钢总医院医疗责任险项目</w:t>
      </w:r>
    </w:p>
    <w:p>
      <w:pPr>
        <w:spacing w:line="420" w:lineRule="exact"/>
        <w:ind w:firstLine="482" w:firstLineChars="200"/>
        <w:rPr>
          <w:rFonts w:ascii="宋体" w:hAnsi="宋体" w:cs="宋体"/>
          <w:sz w:val="24"/>
          <w:szCs w:val="24"/>
        </w:rPr>
      </w:pPr>
      <w:r>
        <w:rPr>
          <w:rFonts w:hint="eastAsia" w:ascii="宋体" w:hAnsi="宋体" w:cs="宋体"/>
          <w:b/>
          <w:sz w:val="24"/>
          <w:szCs w:val="24"/>
        </w:rPr>
        <w:t>二、项目地点</w:t>
      </w:r>
      <w:r>
        <w:rPr>
          <w:rFonts w:hint="eastAsia" w:ascii="宋体" w:hAnsi="宋体" w:cs="宋体"/>
          <w:sz w:val="24"/>
          <w:szCs w:val="24"/>
        </w:rPr>
        <w:t>：重庆市大渡口区大堰三村特1号</w:t>
      </w:r>
    </w:p>
    <w:p>
      <w:pPr>
        <w:spacing w:line="420" w:lineRule="exact"/>
        <w:ind w:firstLine="482" w:firstLineChars="200"/>
        <w:rPr>
          <w:rFonts w:ascii="宋体" w:hAnsi="宋体" w:cs="宋体"/>
          <w:sz w:val="24"/>
          <w:szCs w:val="24"/>
        </w:rPr>
      </w:pPr>
      <w:r>
        <w:rPr>
          <w:rFonts w:hint="eastAsia" w:ascii="宋体" w:hAnsi="宋体" w:cs="宋体"/>
          <w:b/>
          <w:sz w:val="24"/>
          <w:szCs w:val="24"/>
        </w:rPr>
        <w:t>三、服务期限</w:t>
      </w:r>
      <w:r>
        <w:rPr>
          <w:rFonts w:hint="eastAsia" w:ascii="宋体" w:hAnsi="宋体" w:cs="宋体"/>
          <w:sz w:val="24"/>
          <w:szCs w:val="24"/>
        </w:rPr>
        <w:t>：1年。</w:t>
      </w:r>
    </w:p>
    <w:p>
      <w:pPr>
        <w:spacing w:line="420" w:lineRule="exact"/>
        <w:ind w:firstLine="482" w:firstLineChars="200"/>
        <w:rPr>
          <w:rFonts w:ascii="宋体" w:hAnsi="宋体" w:cs="宋体"/>
          <w:sz w:val="24"/>
          <w:szCs w:val="24"/>
        </w:rPr>
      </w:pPr>
      <w:r>
        <w:rPr>
          <w:rFonts w:hint="eastAsia" w:ascii="宋体" w:hAnsi="宋体" w:cs="宋体"/>
          <w:b/>
          <w:bCs/>
          <w:sz w:val="24"/>
          <w:szCs w:val="24"/>
        </w:rPr>
        <w:t>四、资格要求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，具有工商行政主管部门核发的有效工商营业执照且范围与本项目相适应，并在人员、设备、资金等方面具有相应的能力。（提供加盖响应人鲜章的营业执照复印件）。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40" w:lineRule="exact"/>
        <w:ind w:firstLine="480" w:firstLineChars="200"/>
        <w:rPr>
          <w:rFonts w:ascii="宋体" w:cs="宋体"/>
          <w:sz w:val="24"/>
          <w:szCs w:val="24"/>
        </w:rPr>
      </w:pPr>
      <w:r>
        <w:rPr>
          <w:rFonts w:hint="eastAsia" w:ascii="宋体" w:cs="宋体"/>
          <w:sz w:val="24"/>
          <w:szCs w:val="24"/>
        </w:rPr>
        <w:t>（五）特定资格条件。</w:t>
      </w:r>
    </w:p>
    <w:p>
      <w:pPr>
        <w:spacing w:line="440" w:lineRule="exact"/>
        <w:ind w:firstLine="480" w:firstLineChars="200"/>
        <w:rPr>
          <w:rFonts w:ascii="宋体" w:cs="宋体"/>
          <w:sz w:val="24"/>
          <w:szCs w:val="24"/>
        </w:rPr>
      </w:pPr>
      <w:r>
        <w:rPr>
          <w:rFonts w:hint="eastAsia" w:ascii="宋体" w:cs="宋体"/>
          <w:sz w:val="24"/>
          <w:szCs w:val="24"/>
        </w:rPr>
        <w:t>1.响应人必须是经国家保险监督管理部门批准设立的财产保险公司，具有国家保险监督管理部门颁发的《中华人民共和国经营保险业务许可证》。（提供证书复印件并加盖公章）</w:t>
      </w:r>
    </w:p>
    <w:p>
      <w:pPr>
        <w:spacing w:line="440" w:lineRule="exact"/>
        <w:ind w:firstLine="480" w:firstLineChars="200"/>
        <w:rPr>
          <w:rFonts w:ascii="宋体" w:cs="宋体"/>
          <w:sz w:val="24"/>
          <w:szCs w:val="24"/>
        </w:rPr>
      </w:pPr>
      <w:r>
        <w:rPr>
          <w:rFonts w:hint="eastAsia" w:ascii="宋体" w:cs="宋体"/>
          <w:sz w:val="24"/>
          <w:szCs w:val="24"/>
        </w:rPr>
        <w:t>2.本项目只接受其一家重庆分公司或分支机构（分支机构需要有相应授权）参与比选。</w:t>
      </w:r>
    </w:p>
    <w:p>
      <w:pPr>
        <w:spacing w:line="420" w:lineRule="exact"/>
        <w:ind w:firstLine="482" w:firstLineChars="200"/>
        <w:rPr>
          <w:rFonts w:ascii="宋体" w:cs="宋体"/>
          <w:sz w:val="24"/>
          <w:szCs w:val="24"/>
        </w:rPr>
      </w:pPr>
      <w:r>
        <w:rPr>
          <w:rFonts w:hint="eastAsia" w:ascii="宋体" w:hAnsi="宋体" w:cs="宋体"/>
          <w:b/>
          <w:bCs/>
          <w:sz w:val="24"/>
          <w:szCs w:val="24"/>
        </w:rPr>
        <w:t>五、现场踏勘</w:t>
      </w:r>
      <w:r>
        <w:rPr>
          <w:rFonts w:hint="eastAsia" w:ascii="宋体" w:hAnsi="宋体" w:cs="宋体"/>
          <w:sz w:val="24"/>
          <w:szCs w:val="24"/>
        </w:rPr>
        <w:t>：自行踏勘,</w:t>
      </w:r>
      <w:r>
        <w:rPr>
          <w:rFonts w:ascii="宋体" w:hAnsi="宋体" w:cs="宋体"/>
          <w:sz w:val="24"/>
          <w:szCs w:val="24"/>
        </w:rPr>
        <w:t xml:space="preserve"> 无论</w:t>
      </w:r>
      <w:r>
        <w:rPr>
          <w:rFonts w:hint="eastAsia" w:ascii="宋体" w:hAnsi="宋体" w:cs="宋体"/>
          <w:sz w:val="24"/>
          <w:szCs w:val="24"/>
        </w:rPr>
        <w:t>响应</w:t>
      </w:r>
      <w:r>
        <w:rPr>
          <w:rFonts w:ascii="宋体" w:hAnsi="宋体" w:cs="宋体"/>
          <w:sz w:val="24"/>
          <w:szCs w:val="24"/>
        </w:rPr>
        <w:t>人是否踏勘过现场，均被认为在提交</w:t>
      </w:r>
      <w:r>
        <w:rPr>
          <w:rFonts w:hint="eastAsia" w:ascii="宋体" w:hAnsi="宋体" w:cs="宋体"/>
          <w:sz w:val="24"/>
          <w:szCs w:val="24"/>
        </w:rPr>
        <w:t>响应</w:t>
      </w:r>
      <w:r>
        <w:rPr>
          <w:rFonts w:ascii="宋体" w:hAnsi="宋体" w:cs="宋体"/>
          <w:sz w:val="24"/>
          <w:szCs w:val="24"/>
        </w:rPr>
        <w:t>文件之前已经踏勘现场，对本项目的风险和义务已经十分了解，并在其</w:t>
      </w:r>
      <w:r>
        <w:rPr>
          <w:rFonts w:hint="eastAsia" w:ascii="宋体" w:hAnsi="宋体" w:cs="宋体"/>
          <w:sz w:val="24"/>
          <w:szCs w:val="24"/>
        </w:rPr>
        <w:t>响应</w:t>
      </w:r>
      <w:r>
        <w:rPr>
          <w:rFonts w:ascii="宋体" w:hAnsi="宋体" w:cs="宋体"/>
          <w:sz w:val="24"/>
          <w:szCs w:val="24"/>
        </w:rPr>
        <w:t>文件中已充分考虑了现场和环境条件。</w:t>
      </w:r>
    </w:p>
    <w:p>
      <w:pPr>
        <w:spacing w:line="420" w:lineRule="exact"/>
        <w:ind w:firstLine="482" w:firstLineChars="200"/>
        <w:rPr>
          <w:rFonts w:ascii="宋体" w:hAnsi="宋体" w:cs="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（一）比选文件发布时间：</w:t>
      </w:r>
      <w:r>
        <w:rPr>
          <w:rFonts w:ascii="宋体" w:hAnsi="宋体" w:cs="宋体"/>
          <w:color w:val="auto"/>
          <w:sz w:val="24"/>
          <w:szCs w:val="24"/>
        </w:rPr>
        <w:t>202</w:t>
      </w:r>
      <w:r>
        <w:rPr>
          <w:rFonts w:hint="eastAsia" w:ascii="宋体" w:hAnsi="宋体" w:cs="宋体"/>
          <w:color w:val="auto"/>
          <w:sz w:val="24"/>
          <w:szCs w:val="24"/>
        </w:rPr>
        <w:t>3年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（二）比选时间：</w:t>
      </w:r>
      <w:r>
        <w:rPr>
          <w:rFonts w:ascii="宋体" w:hAnsi="宋体" w:cs="宋体"/>
          <w:color w:val="auto"/>
          <w:sz w:val="24"/>
          <w:szCs w:val="24"/>
        </w:rPr>
        <w:t>202</w:t>
      </w:r>
      <w:r>
        <w:rPr>
          <w:rFonts w:hint="eastAsia" w:ascii="宋体" w:hAnsi="宋体" w:cs="宋体"/>
          <w:color w:val="auto"/>
          <w:sz w:val="24"/>
          <w:szCs w:val="24"/>
        </w:rPr>
        <w:t>3年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日下午</w:t>
      </w:r>
      <w:r>
        <w:rPr>
          <w:rFonts w:ascii="宋体" w:hAnsi="宋体" w:cs="宋体"/>
          <w:color w:val="auto"/>
          <w:sz w:val="24"/>
          <w:szCs w:val="24"/>
        </w:rPr>
        <w:t>1</w:t>
      </w:r>
      <w:r>
        <w:rPr>
          <w:rFonts w:hint="eastAsia" w:ascii="宋体" w:hAnsi="宋体" w:cs="宋体"/>
          <w:color w:val="auto"/>
          <w:sz w:val="24"/>
          <w:szCs w:val="24"/>
        </w:rPr>
        <w:t>5：0</w:t>
      </w:r>
      <w:r>
        <w:rPr>
          <w:rFonts w:ascii="宋体" w:hAnsi="宋体" w:cs="宋体"/>
          <w:color w:val="auto"/>
          <w:sz w:val="24"/>
          <w:szCs w:val="24"/>
        </w:rPr>
        <w:t>0</w:t>
      </w:r>
      <w:r>
        <w:rPr>
          <w:rFonts w:hint="eastAsia" w:ascii="宋体" w:hAnsi="宋体" w:cs="宋体"/>
          <w:color w:val="auto"/>
          <w:sz w:val="24"/>
          <w:szCs w:val="24"/>
        </w:rPr>
        <w:t>时。</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（三）比选文件获取方式：重钢总医院官网（</w:t>
      </w:r>
      <w:r>
        <w:rPr>
          <w:rFonts w:ascii="宋体" w:hAnsi="宋体" w:cs="宋体"/>
          <w:color w:val="auto"/>
          <w:sz w:val="24"/>
          <w:szCs w:val="24"/>
        </w:rPr>
        <w:t>www.cghospital.com</w:t>
      </w:r>
      <w:r>
        <w:rPr>
          <w:rFonts w:hint="eastAsia" w:ascii="宋体" w:hAnsi="宋体" w:cs="宋体"/>
          <w:color w:val="auto"/>
          <w:sz w:val="24"/>
          <w:szCs w:val="24"/>
        </w:rPr>
        <w:t>）。</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（四）比选报名：</w:t>
      </w:r>
      <w:r>
        <w:rPr>
          <w:rFonts w:hint="eastAsia" w:ascii="宋体" w:hAnsi="宋体" w:cs="宋体"/>
          <w:b/>
          <w:color w:val="auto"/>
          <w:sz w:val="24"/>
          <w:szCs w:val="24"/>
        </w:rPr>
        <w:t>本项目应在比选截止时间前</w:t>
      </w:r>
      <w:r>
        <w:rPr>
          <w:rFonts w:ascii="宋体" w:hAnsi="宋体" w:cs="宋体"/>
          <w:b/>
          <w:color w:val="auto"/>
          <w:sz w:val="24"/>
          <w:szCs w:val="24"/>
        </w:rPr>
        <w:t>1</w:t>
      </w:r>
      <w:r>
        <w:rPr>
          <w:rFonts w:hint="eastAsia" w:ascii="宋体" w:hAnsi="宋体" w:cs="宋体"/>
          <w:b/>
          <w:color w:val="auto"/>
          <w:sz w:val="24"/>
          <w:szCs w:val="24"/>
        </w:rPr>
        <w:t>天进行报名，报名方式为：</w:t>
      </w:r>
      <w:r>
        <w:rPr>
          <w:color w:val="auto"/>
        </w:rPr>
        <w:fldChar w:fldCharType="begin"/>
      </w:r>
      <w:r>
        <w:rPr>
          <w:color w:val="auto"/>
        </w:rPr>
        <w:instrText xml:space="preserve"> HYPERLINK "mailto:将加盖响应人公章的报名函发送至指定邮箱cgzyyxjzy@163.com" </w:instrText>
      </w:r>
      <w:r>
        <w:rPr>
          <w:color w:val="auto"/>
        </w:rPr>
        <w:fldChar w:fldCharType="separate"/>
      </w:r>
      <w:r>
        <w:rPr>
          <w:rFonts w:hint="eastAsia"/>
          <w:b/>
          <w:color w:val="auto"/>
          <w:sz w:val="24"/>
          <w:szCs w:val="24"/>
        </w:rPr>
        <w:t>将加盖响应人公章的报名函发送至指定邮箱</w:t>
      </w:r>
      <w:r>
        <w:rPr>
          <w:rFonts w:hint="eastAsia"/>
          <w:b/>
          <w:color w:val="auto"/>
          <w:sz w:val="24"/>
          <w:szCs w:val="24"/>
          <w:lang w:val="en-US" w:eastAsia="zh-CN"/>
        </w:rPr>
        <w:t>313948804@QQ</w:t>
      </w:r>
      <w:r>
        <w:rPr>
          <w:b/>
          <w:color w:val="auto"/>
          <w:sz w:val="24"/>
          <w:szCs w:val="24"/>
        </w:rPr>
        <w:t>.com</w:t>
      </w:r>
      <w:r>
        <w:rPr>
          <w:b/>
          <w:color w:val="auto"/>
          <w:sz w:val="24"/>
          <w:szCs w:val="24"/>
        </w:rPr>
        <w:fldChar w:fldCharType="end"/>
      </w:r>
      <w:r>
        <w:rPr>
          <w:rFonts w:hint="eastAsia" w:ascii="宋体" w:hAnsi="宋体" w:cs="宋体"/>
          <w:b/>
          <w:color w:val="auto"/>
          <w:sz w:val="24"/>
          <w:szCs w:val="24"/>
        </w:rPr>
        <w:t>。只有进行报名的单位才具备参选资格</w:t>
      </w:r>
      <w:r>
        <w:rPr>
          <w:rFonts w:hint="eastAsia" w:ascii="宋体" w:hAnsi="宋体" w:cs="宋体"/>
          <w:color w:val="auto"/>
          <w:sz w:val="24"/>
          <w:szCs w:val="24"/>
        </w:rPr>
        <w:t>。</w:t>
      </w:r>
      <w:r>
        <w:rPr>
          <w:rFonts w:hint="eastAsia" w:ascii="宋体" w:hAnsi="宋体" w:cs="宋体"/>
          <w:b/>
          <w:color w:val="auto"/>
          <w:sz w:val="24"/>
          <w:szCs w:val="24"/>
        </w:rPr>
        <w:t>报名函格式自拟。</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（五）响应文件递交截止时间：</w:t>
      </w:r>
      <w:r>
        <w:rPr>
          <w:rFonts w:ascii="宋体" w:hAnsi="宋体" w:cs="宋体"/>
          <w:color w:val="auto"/>
          <w:sz w:val="24"/>
          <w:szCs w:val="24"/>
        </w:rPr>
        <w:t>202</w:t>
      </w:r>
      <w:r>
        <w:rPr>
          <w:rFonts w:hint="eastAsia" w:ascii="宋体" w:hAnsi="宋体" w:cs="宋体"/>
          <w:color w:val="auto"/>
          <w:sz w:val="24"/>
          <w:szCs w:val="24"/>
        </w:rPr>
        <w:t>3年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28</w:t>
      </w:r>
      <w:bookmarkStart w:id="3" w:name="_GoBack"/>
      <w:bookmarkEnd w:id="3"/>
      <w:r>
        <w:rPr>
          <w:rFonts w:hint="eastAsia" w:ascii="宋体" w:hAnsi="宋体" w:cs="宋体"/>
          <w:color w:val="auto"/>
          <w:sz w:val="24"/>
          <w:szCs w:val="24"/>
        </w:rPr>
        <w:t>日下午1</w:t>
      </w:r>
      <w:r>
        <w:rPr>
          <w:rFonts w:hint="eastAsia" w:ascii="宋体" w:hAnsi="宋体" w:cs="宋体"/>
          <w:sz w:val="24"/>
          <w:szCs w:val="24"/>
        </w:rPr>
        <w:t>5：00时。超过截止时间的恕不接受。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（六）响应文件递交地点：重钢总医院办公楼三楼一会议室。</w:t>
      </w:r>
    </w:p>
    <w:p>
      <w:pPr>
        <w:spacing w:line="440" w:lineRule="exact"/>
        <w:ind w:firstLine="480" w:firstLineChars="200"/>
        <w:rPr>
          <w:rFonts w:ascii="宋体" w:hAns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七、联系人</w:t>
      </w:r>
    </w:p>
    <w:p>
      <w:pPr>
        <w:spacing w:line="42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20" w:lineRule="exact"/>
        <w:ind w:firstLine="480" w:firstLineChars="200"/>
        <w:rPr>
          <w:rFonts w:ascii="宋体" w:cs="宋体"/>
          <w:sz w:val="24"/>
          <w:szCs w:val="24"/>
        </w:rPr>
      </w:pPr>
      <w:r>
        <w:rPr>
          <w:rFonts w:hint="eastAsia" w:ascii="宋体" w:hAnsi="宋体" w:cs="宋体"/>
          <w:sz w:val="24"/>
          <w:szCs w:val="24"/>
        </w:rPr>
        <w:t>地址：重庆市大渡口区</w:t>
      </w:r>
    </w:p>
    <w:p>
      <w:pPr>
        <w:spacing w:line="420" w:lineRule="exact"/>
        <w:ind w:firstLine="480" w:firstLineChars="200"/>
        <w:rPr>
          <w:rFonts w:ascii="宋体" w:hAnsi="宋体"/>
          <w:color w:val="FF0000"/>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023-81915031</w:t>
      </w:r>
      <w:r>
        <w:rPr>
          <w:rFonts w:ascii="宋体" w:hAnsi="宋体" w:cs="宋体"/>
          <w:color w:val="FF0000"/>
          <w:sz w:val="24"/>
          <w:szCs w:val="24"/>
        </w:rPr>
        <w:t xml:space="preserve">  </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业务部门联系人：陈老师      </w:t>
      </w:r>
      <w:r>
        <w:rPr>
          <w:rFonts w:hint="eastAsia" w:ascii="宋体" w:hAnsi="宋体" w:cs="宋体"/>
          <w:sz w:val="24"/>
          <w:szCs w:val="24"/>
          <w:lang w:val="en-US" w:eastAsia="zh-CN"/>
        </w:rPr>
        <w:t xml:space="preserve"> </w:t>
      </w:r>
      <w:r>
        <w:rPr>
          <w:rFonts w:hint="eastAsia" w:ascii="宋体" w:hAnsi="宋体" w:cs="宋体"/>
          <w:sz w:val="24"/>
          <w:szCs w:val="24"/>
        </w:rPr>
        <w:t xml:space="preserve"> 联系电话：023-</w:t>
      </w:r>
      <w:r>
        <w:rPr>
          <w:rFonts w:hint="eastAsia" w:cs="宋体" w:asciiTheme="minorEastAsia" w:hAnsiTheme="minorEastAsia" w:eastAsiaTheme="minorEastAsia"/>
          <w:sz w:val="24"/>
          <w:szCs w:val="24"/>
        </w:rPr>
        <w:t>81915204</w:t>
      </w: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420" w:lineRule="exact"/>
        <w:jc w:val="center"/>
        <w:rPr>
          <w:rFonts w:ascii="宋体" w:hAnsi="宋体"/>
          <w:b/>
          <w:bCs/>
          <w:sz w:val="24"/>
          <w:szCs w:val="24"/>
        </w:rPr>
      </w:pPr>
      <w:r>
        <w:rPr>
          <w:rFonts w:hint="eastAsia" w:ascii="宋体" w:hAnsi="宋体" w:cs="宋体"/>
          <w:b/>
          <w:bCs/>
          <w:sz w:val="24"/>
          <w:szCs w:val="24"/>
        </w:rPr>
        <w:t>第二章  响应人须知</w:t>
      </w:r>
    </w:p>
    <w:p>
      <w:pPr>
        <w:spacing w:line="420" w:lineRule="exact"/>
        <w:jc w:val="left"/>
        <w:rPr>
          <w:rFonts w:ascii="宋体" w:hAnsi="宋体" w:cs="宋体"/>
          <w:b/>
          <w:bCs/>
          <w:sz w:val="24"/>
          <w:szCs w:val="24"/>
        </w:rPr>
      </w:pPr>
    </w:p>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rPr>
        <w:t>一、项目名称</w:t>
      </w:r>
      <w:r>
        <w:rPr>
          <w:rFonts w:hint="eastAsia" w:ascii="宋体" w:hAnsi="宋体" w:cs="宋体"/>
          <w:sz w:val="24"/>
          <w:szCs w:val="24"/>
        </w:rPr>
        <w:t>：重钢总医院医疗责任险项目</w:t>
      </w:r>
    </w:p>
    <w:p>
      <w:pPr>
        <w:spacing w:line="420" w:lineRule="exact"/>
        <w:ind w:firstLine="482" w:firstLineChars="200"/>
        <w:rPr>
          <w:rFonts w:ascii="宋体" w:hAnsi="宋体"/>
          <w:sz w:val="24"/>
          <w:szCs w:val="24"/>
        </w:rPr>
      </w:pPr>
      <w:r>
        <w:rPr>
          <w:rFonts w:hint="eastAsia" w:ascii="宋体" w:hAnsi="宋体" w:cs="宋体"/>
          <w:b/>
          <w:bCs/>
          <w:sz w:val="24"/>
          <w:szCs w:val="24"/>
          <w:lang w:eastAsia="zh-CN"/>
        </w:rPr>
        <w:t>二、</w:t>
      </w:r>
      <w:r>
        <w:rPr>
          <w:rFonts w:hint="eastAsia" w:ascii="宋体" w:hAnsi="宋体" w:cs="宋体"/>
          <w:b/>
          <w:bCs/>
          <w:sz w:val="24"/>
          <w:szCs w:val="24"/>
        </w:rPr>
        <w:t>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40" w:lineRule="exact"/>
        <w:ind w:firstLine="480" w:firstLineChars="200"/>
        <w:rPr>
          <w:rFonts w:cs="宋体" w:asciiTheme="minorEastAsia" w:hAnsiTheme="minorEastAsia" w:eastAsiaTheme="minorEastAsia"/>
          <w:color w:val="FF0000"/>
          <w:sz w:val="24"/>
          <w:szCs w:val="24"/>
        </w:rPr>
      </w:pPr>
      <w:r>
        <w:rPr>
          <w:rFonts w:hint="eastAsia" w:ascii="宋体" w:hAnsi="宋体" w:cs="宋体"/>
          <w:sz w:val="24"/>
          <w:szCs w:val="24"/>
        </w:rPr>
        <w:t>响应文件中仅存在唯一报价，</w:t>
      </w:r>
      <w:r>
        <w:rPr>
          <w:rFonts w:hint="eastAsia" w:cs="宋体" w:asciiTheme="minorEastAsia" w:hAnsiTheme="minorEastAsia" w:eastAsiaTheme="minorEastAsia"/>
          <w:sz w:val="24"/>
          <w:szCs w:val="24"/>
        </w:rPr>
        <w:t>本次比选无二次报价。以总价报价的形式进行报价。本次报价须为人民币含税交钥匙工程报价，包含：产品价、人工费、印制费、通讯费、交通费、保险费、税费、抽检费、培训费等所有费用。因响应人自身原因造成漏报、少报皆由其自行承担责任，比选人不再补偿。</w:t>
      </w:r>
    </w:p>
    <w:p>
      <w:pPr>
        <w:pStyle w:val="8"/>
        <w:rPr>
          <w:sz w:val="24"/>
          <w:szCs w:val="24"/>
        </w:rPr>
      </w:pPr>
      <w:r>
        <w:rPr>
          <w:sz w:val="24"/>
          <w:szCs w:val="24"/>
        </w:rPr>
        <w:t xml:space="preserve">   </w:t>
      </w:r>
      <w:r>
        <w:rPr>
          <w:rFonts w:hint="eastAsia"/>
          <w:sz w:val="24"/>
          <w:szCs w:val="24"/>
        </w:rPr>
        <w:t>（二）限价说明：</w:t>
      </w:r>
    </w:p>
    <w:p>
      <w:pPr>
        <w:spacing w:line="42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本次比选最高总限价为</w:t>
      </w:r>
      <w:r>
        <w:rPr>
          <w:rFonts w:hint="eastAsia" w:cs="宋体" w:asciiTheme="minorEastAsia" w:hAnsiTheme="minorEastAsia" w:eastAsiaTheme="minorEastAsia"/>
          <w:bCs/>
          <w:sz w:val="24"/>
          <w:szCs w:val="24"/>
          <w:u w:val="single"/>
        </w:rPr>
        <w:t xml:space="preserve">   990000元   </w:t>
      </w:r>
      <w:r>
        <w:rPr>
          <w:rFonts w:hint="eastAsia" w:cs="宋体" w:asciiTheme="minorEastAsia" w:hAnsiTheme="minorEastAsia" w:eastAsiaTheme="minorEastAsia"/>
          <w:bCs/>
          <w:sz w:val="24"/>
          <w:szCs w:val="24"/>
        </w:rPr>
        <w:t>，总价超过最高限价的作废。</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只有资格审核及符合性审核合格的响应人才能继续参与评审。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387"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响应人法人（主要负责人）营业执照（副本）或事业单位法人（主要负责人）证书（副本）或个体工商户营业执照或有效的自然人身份证明；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387"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hint="eastAsia" w:ascii="宋体" w:hAnsi="宋体" w:cs="宋体"/>
                <w:kern w:val="0"/>
              </w:rPr>
              <w:t>3</w:t>
            </w:r>
          </w:p>
        </w:tc>
        <w:tc>
          <w:tcPr>
            <w:tcW w:w="1562" w:type="dxa"/>
            <w:vAlign w:val="center"/>
          </w:tcPr>
          <w:p>
            <w:pPr>
              <w:spacing w:line="320" w:lineRule="exact"/>
              <w:rPr>
                <w:rFonts w:cs="宋体" w:asciiTheme="minorEastAsia" w:hAnsiTheme="minorEastAsia" w:eastAsiaTheme="minorEastAsia"/>
                <w:b/>
                <w:kern w:val="0"/>
              </w:rPr>
            </w:pPr>
            <w:r>
              <w:rPr>
                <w:rFonts w:hint="eastAsia" w:cs="仿宋_GB2312" w:asciiTheme="minorEastAsia" w:hAnsiTheme="minorEastAsia" w:eastAsiaTheme="minorEastAsia"/>
                <w:lang w:val="zh-CN"/>
              </w:rPr>
              <w:t>响应文件内容</w:t>
            </w: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响应比选文件中</w:t>
            </w:r>
            <w:r>
              <w:rPr>
                <w:rFonts w:hint="eastAsia" w:cs="宋体" w:asciiTheme="minorEastAsia" w:hAnsiTheme="minorEastAsia" w:eastAsiaTheme="minorEastAsia"/>
                <w:kern w:val="0"/>
              </w:rPr>
              <w:t>规定</w:t>
            </w:r>
            <w:r>
              <w:rPr>
                <w:rFonts w:hint="eastAsia" w:cs="仿宋_GB2312" w:asciiTheme="minorEastAsia" w:hAnsiTheme="minorEastAsia" w:eastAsiaTheme="minorEastAsia"/>
              </w:rPr>
              <w:t>的内容。</w:t>
            </w:r>
          </w:p>
        </w:tc>
      </w:tr>
    </w:tbl>
    <w:p>
      <w:pPr>
        <w:spacing w:line="400" w:lineRule="exact"/>
        <w:ind w:firstLine="360" w:firstLineChars="150"/>
        <w:rPr>
          <w:rFonts w:cs="宋体" w:asciiTheme="minorEastAsia" w:hAnsiTheme="minorEastAsia" w:eastAsiaTheme="minorEastAsia"/>
          <w:sz w:val="28"/>
          <w:szCs w:val="28"/>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560" w:firstLineChars="200"/>
        <w:rPr>
          <w:sz w:val="28"/>
          <w:szCs w:val="28"/>
        </w:rPr>
      </w:pPr>
      <w:r>
        <w:rPr>
          <w:rFonts w:ascii="宋体" w:hAnsi="宋体" w:cs="宋体"/>
          <w:sz w:val="28"/>
          <w:szCs w:val="28"/>
        </w:rPr>
        <w:t>2</w:t>
      </w:r>
      <w:r>
        <w:rPr>
          <w:rFonts w:hint="eastAsia" w:ascii="宋体" w:hAnsi="宋体" w:cs="宋体"/>
          <w:sz w:val="28"/>
          <w:szCs w:val="28"/>
        </w:rPr>
        <w:t>．</w:t>
      </w:r>
      <w:r>
        <w:rPr>
          <w:rFonts w:hint="eastAsia" w:cs="宋体" w:asciiTheme="minorEastAsia" w:hAnsiTheme="minorEastAsia" w:eastAsiaTheme="minorEastAsia"/>
          <w:kern w:val="0"/>
          <w:sz w:val="24"/>
          <w:szCs w:val="24"/>
        </w:rPr>
        <w:t>评审原则：综合评分法。满足比选文件要求，按最终评分高低进行排序，若得分相同，则以技术部分得分高低排序，技术部分得分也一样的，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hAnsi="宋体" w:cs="宋体"/>
          <w:sz w:val="24"/>
          <w:szCs w:val="24"/>
        </w:rPr>
      </w:pPr>
      <w:r>
        <w:rPr>
          <w:rFonts w:hint="eastAsia" w:ascii="宋体" w:hAnsi="宋体" w:cs="宋体"/>
          <w:sz w:val="24"/>
          <w:szCs w:val="24"/>
        </w:rPr>
        <w:t>3．评分说明：</w:t>
      </w:r>
    </w:p>
    <w:tbl>
      <w:tblPr>
        <w:tblStyle w:val="15"/>
        <w:tblW w:w="93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77"/>
        <w:gridCol w:w="1778"/>
        <w:gridCol w:w="53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277"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评审因素</w:t>
            </w:r>
          </w:p>
        </w:tc>
        <w:tc>
          <w:tcPr>
            <w:tcW w:w="7108" w:type="dxa"/>
            <w:gridSpan w:val="2"/>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分值构成</w:t>
            </w:r>
          </w:p>
          <w:p>
            <w:pPr>
              <w:spacing w:line="380" w:lineRule="exact"/>
              <w:rPr>
                <w:rFonts w:asciiTheme="minorEastAsia" w:hAnsiTheme="minorEastAsia" w:eastAsiaTheme="minorEastAsia"/>
              </w:rPr>
            </w:pPr>
            <w:r>
              <w:rPr>
                <w:rFonts w:hint="eastAsia" w:asciiTheme="minorEastAsia" w:hAnsiTheme="minorEastAsia" w:eastAsiaTheme="minorEastAsia"/>
              </w:rPr>
              <w:t>（总分</w:t>
            </w:r>
            <w:r>
              <w:rPr>
                <w:rFonts w:asciiTheme="minorEastAsia" w:hAnsiTheme="minorEastAsia" w:eastAsiaTheme="minorEastAsia"/>
              </w:rPr>
              <w:t>1OO</w:t>
            </w:r>
            <w:r>
              <w:rPr>
                <w:rFonts w:hint="eastAsia" w:asciiTheme="minorEastAsia" w:hAnsiTheme="minorEastAsia" w:eastAsiaTheme="minorEastAsia"/>
              </w:rPr>
              <w:t>分）</w:t>
            </w:r>
          </w:p>
        </w:tc>
        <w:tc>
          <w:tcPr>
            <w:tcW w:w="7108" w:type="dxa"/>
            <w:gridSpan w:val="2"/>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比选总报价得分</w:t>
            </w:r>
            <w:r>
              <w:rPr>
                <w:rFonts w:hint="eastAsia" w:asciiTheme="minorEastAsia" w:hAnsiTheme="minorEastAsia" w:eastAsiaTheme="minorEastAsia"/>
                <w:u w:val="single"/>
              </w:rPr>
              <w:t xml:space="preserve">  40  </w:t>
            </w:r>
            <w:r>
              <w:rPr>
                <w:rFonts w:hint="eastAsia" w:asciiTheme="minorEastAsia" w:hAnsiTheme="minorEastAsia" w:eastAsiaTheme="minorEastAsia"/>
              </w:rPr>
              <w:t>分；</w:t>
            </w:r>
          </w:p>
          <w:p>
            <w:pPr>
              <w:spacing w:line="380" w:lineRule="exact"/>
              <w:rPr>
                <w:rFonts w:asciiTheme="minorEastAsia" w:hAnsiTheme="minorEastAsia" w:eastAsiaTheme="minorEastAsia"/>
              </w:rPr>
            </w:pPr>
            <w:r>
              <w:rPr>
                <w:rFonts w:hint="eastAsia" w:asciiTheme="minorEastAsia" w:hAnsiTheme="minorEastAsia" w:eastAsiaTheme="minorEastAsia"/>
              </w:rPr>
              <w:t>技术部分得分</w:t>
            </w:r>
            <w:r>
              <w:rPr>
                <w:rFonts w:hint="eastAsia" w:asciiTheme="minorEastAsia" w:hAnsiTheme="minorEastAsia" w:eastAsiaTheme="minorEastAsia"/>
                <w:u w:val="single"/>
              </w:rPr>
              <w:t xml:space="preserve">   37 </w:t>
            </w:r>
            <w:r>
              <w:rPr>
                <w:rFonts w:asciiTheme="minorEastAsia" w:hAnsiTheme="minorEastAsia" w:eastAsiaTheme="minorEastAsia"/>
                <w:u w:val="single"/>
              </w:rPr>
              <w:t xml:space="preserve">  </w:t>
            </w:r>
            <w:r>
              <w:rPr>
                <w:rFonts w:hint="eastAsia" w:asciiTheme="minorEastAsia" w:hAnsiTheme="minorEastAsia" w:eastAsiaTheme="minorEastAsia"/>
              </w:rPr>
              <w:t>分；</w:t>
            </w:r>
          </w:p>
          <w:p>
            <w:pPr>
              <w:spacing w:line="380" w:lineRule="exact"/>
              <w:rPr>
                <w:rFonts w:asciiTheme="minorEastAsia" w:hAnsiTheme="minorEastAsia" w:eastAsiaTheme="minorEastAsia"/>
              </w:rPr>
            </w:pPr>
            <w:r>
              <w:rPr>
                <w:rFonts w:hint="eastAsia" w:asciiTheme="minorEastAsia" w:hAnsiTheme="minorEastAsia" w:eastAsiaTheme="minorEastAsia"/>
              </w:rPr>
              <w:t>商务部分得分</w:t>
            </w:r>
            <w:r>
              <w:rPr>
                <w:rFonts w:hint="eastAsia" w:asciiTheme="minorEastAsia" w:hAnsiTheme="minorEastAsia" w:eastAsiaTheme="minorEastAsia"/>
                <w:u w:val="single"/>
              </w:rPr>
              <w:t xml:space="preserve">  23  </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评审基准价计算方法</w:t>
            </w:r>
          </w:p>
        </w:tc>
        <w:tc>
          <w:tcPr>
            <w:tcW w:w="7108" w:type="dxa"/>
            <w:gridSpan w:val="2"/>
            <w:vAlign w:val="center"/>
          </w:tcPr>
          <w:p>
            <w:pPr>
              <w:spacing w:line="380" w:lineRule="exact"/>
              <w:rPr>
                <w:rFonts w:asciiTheme="minorEastAsia" w:hAnsiTheme="minorEastAsia" w:eastAsiaTheme="minorEastAsia"/>
              </w:rPr>
            </w:pPr>
            <w:r>
              <w:rPr>
                <w:rFonts w:asciiTheme="minorEastAsia" w:hAnsiTheme="minorEastAsia" w:eastAsiaTheme="minorEastAsia"/>
              </w:rPr>
              <w:t>有效的比选报价中的</w:t>
            </w:r>
            <w:r>
              <w:rPr>
                <w:rFonts w:hint="eastAsia" w:asciiTheme="minorEastAsia" w:hAnsiTheme="minorEastAsia" w:eastAsiaTheme="minorEastAsia"/>
              </w:rPr>
              <w:t>最低价</w:t>
            </w:r>
            <w:r>
              <w:rPr>
                <w:rFonts w:asciiTheme="minorEastAsia" w:hAnsiTheme="minorEastAsia" w:eastAsiaTheme="minorEastAsia"/>
              </w:rPr>
              <w:t>为评</w:t>
            </w:r>
            <w:r>
              <w:rPr>
                <w:rFonts w:hint="eastAsia" w:asciiTheme="minorEastAsia" w:hAnsiTheme="minorEastAsia" w:eastAsiaTheme="minorEastAsia"/>
              </w:rPr>
              <w:t>审</w:t>
            </w:r>
            <w:r>
              <w:rPr>
                <w:rFonts w:asciiTheme="minorEastAsia" w:hAnsiTheme="minorEastAsia" w:eastAsiaTheme="minorEastAsia"/>
              </w:rPr>
              <w:t>基准价</w:t>
            </w:r>
          </w:p>
          <w:p>
            <w:pPr>
              <w:spacing w:line="380" w:lineRule="exact"/>
              <w:rPr>
                <w:rFonts w:asciiTheme="minorEastAsia" w:hAnsiTheme="minorEastAsia" w:eastAsiaTheme="minorEastAsia"/>
              </w:rPr>
            </w:pPr>
            <w:r>
              <w:rPr>
                <w:rFonts w:hint="eastAsia" w:asciiTheme="minorEastAsia" w:hAnsiTheme="minorEastAsia" w:eastAsiaTheme="minorEastAsia"/>
              </w:rPr>
              <w:t>以上计算取小数点后2位，小数点后第二位四舍五入。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比选报价得分（A）</w:t>
            </w:r>
          </w:p>
        </w:tc>
        <w:tc>
          <w:tcPr>
            <w:tcW w:w="7108" w:type="dxa"/>
            <w:gridSpan w:val="2"/>
            <w:vAlign w:val="center"/>
          </w:tcPr>
          <w:p>
            <w:pPr>
              <w:spacing w:line="380" w:lineRule="exact"/>
              <w:rPr>
                <w:rFonts w:asciiTheme="minorEastAsia" w:hAnsiTheme="minorEastAsia" w:eastAsiaTheme="minorEastAsia"/>
              </w:rPr>
            </w:pPr>
            <w:r>
              <w:rPr>
                <w:rFonts w:asciiTheme="minorEastAsia" w:hAnsiTheme="minorEastAsia" w:eastAsiaTheme="minorEastAsia"/>
              </w:rPr>
              <w:t>比选报价得分＝（评</w:t>
            </w:r>
            <w:r>
              <w:rPr>
                <w:rFonts w:hint="eastAsia" w:asciiTheme="minorEastAsia" w:hAnsiTheme="minorEastAsia" w:eastAsiaTheme="minorEastAsia"/>
              </w:rPr>
              <w:t>审</w:t>
            </w:r>
            <w:r>
              <w:rPr>
                <w:rFonts w:asciiTheme="minorEastAsia" w:hAnsiTheme="minorEastAsia" w:eastAsiaTheme="minorEastAsia"/>
              </w:rPr>
              <w:t>基准价/比选报价）×价格权重×100。</w:t>
            </w:r>
            <w:r>
              <w:rPr>
                <w:rFonts w:hint="eastAsia" w:asciiTheme="minorEastAsia" w:hAnsiTheme="minorEastAsia" w:eastAsiaTheme="minorEastAsia"/>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restart"/>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技术部分得分（B）</w:t>
            </w: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保险业务办理及服务（6分）</w:t>
            </w:r>
          </w:p>
        </w:tc>
        <w:tc>
          <w:tcPr>
            <w:tcW w:w="5330" w:type="dxa"/>
            <w:vAlign w:val="center"/>
          </w:tcPr>
          <w:p>
            <w:pPr>
              <w:spacing w:line="380" w:lineRule="exact"/>
              <w:jc w:val="left"/>
              <w:rPr>
                <w:rFonts w:asciiTheme="minorEastAsia" w:hAnsiTheme="minorEastAsia" w:eastAsiaTheme="minorEastAsia"/>
              </w:rPr>
            </w:pPr>
            <w:r>
              <w:rPr>
                <w:rFonts w:hint="eastAsia" w:asciiTheme="minorEastAsia" w:hAnsiTheme="minorEastAsia" w:eastAsiaTheme="minorEastAsia"/>
              </w:rPr>
              <w:t>评审小组根据响应人提供的保险业务办理及服务方案优劣程度进行评分。优得5-6分、良得3-4分、一般得1-2分、未提供或差得0分。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理赔手续简化方案（6分）</w:t>
            </w:r>
          </w:p>
        </w:tc>
        <w:tc>
          <w:tcPr>
            <w:tcW w:w="5330"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评审小组根据响应人提供的理赔手续简化方案的优劣程度进行评分。优得5-6分、良得3-4分、一般得1-2分、未提供或差得0分。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医疗纠纷预防与处理培训方案</w:t>
            </w:r>
          </w:p>
          <w:p>
            <w:pPr>
              <w:spacing w:line="380" w:lineRule="exact"/>
              <w:jc w:val="center"/>
              <w:rPr>
                <w:rFonts w:asciiTheme="minorEastAsia" w:hAnsiTheme="minorEastAsia" w:eastAsiaTheme="minorEastAsia"/>
              </w:rPr>
            </w:pPr>
            <w:r>
              <w:rPr>
                <w:rFonts w:hint="eastAsia" w:asciiTheme="minorEastAsia" w:hAnsiTheme="minorEastAsia" w:eastAsiaTheme="minorEastAsia"/>
              </w:rPr>
              <w:t>（8分）</w:t>
            </w:r>
          </w:p>
        </w:tc>
        <w:tc>
          <w:tcPr>
            <w:tcW w:w="5330"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评审小组根据响应人提供的医疗纠纷预防与处理培训方案的优劣程度进行评分。优得7-8分、良得4-6分、一般得1-3分、未提供或差得0分。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ind w:firstLine="28"/>
              <w:jc w:val="center"/>
              <w:rPr>
                <w:rFonts w:cs="微软雅黑" w:asciiTheme="minorEastAsia" w:hAnsiTheme="minorEastAsia" w:eastAsiaTheme="minorEastAsia"/>
              </w:rPr>
            </w:pPr>
            <w:r>
              <w:rPr>
                <w:rFonts w:hint="eastAsia" w:cs="微软雅黑" w:asciiTheme="minorEastAsia" w:hAnsiTheme="minorEastAsia" w:eastAsiaTheme="minorEastAsia"/>
              </w:rPr>
              <w:t>重大事故的处理措施（8分）</w:t>
            </w:r>
          </w:p>
        </w:tc>
        <w:tc>
          <w:tcPr>
            <w:tcW w:w="5330" w:type="dxa"/>
            <w:vAlign w:val="center"/>
          </w:tcPr>
          <w:p>
            <w:pPr>
              <w:spacing w:line="380" w:lineRule="exact"/>
              <w:rPr>
                <w:rFonts w:asciiTheme="minorEastAsia" w:hAnsiTheme="minorEastAsia" w:eastAsiaTheme="minorEastAsia"/>
              </w:rPr>
            </w:pPr>
            <w:r>
              <w:rPr>
                <w:rFonts w:hint="eastAsia" w:cs="微软雅黑" w:asciiTheme="minorEastAsia" w:hAnsiTheme="minorEastAsia" w:eastAsiaTheme="minorEastAsia"/>
              </w:rPr>
              <w:t>评审小组根据响应人提供的重大事故的处理措施的优劣程度进行评分。</w:t>
            </w:r>
            <w:r>
              <w:rPr>
                <w:rFonts w:hint="eastAsia" w:asciiTheme="minorEastAsia" w:hAnsiTheme="minorEastAsia" w:eastAsiaTheme="minorEastAsia"/>
              </w:rPr>
              <w:t>优得7-8分、良得4-6分、一般得1-3分、未提供或差得0分。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ind w:firstLine="28"/>
              <w:jc w:val="center"/>
              <w:rPr>
                <w:rFonts w:cs="微软雅黑" w:asciiTheme="minorEastAsia" w:hAnsiTheme="minorEastAsia" w:eastAsiaTheme="minorEastAsia"/>
              </w:rPr>
            </w:pPr>
            <w:r>
              <w:rPr>
                <w:rFonts w:hint="eastAsia" w:cs="微软雅黑" w:asciiTheme="minorEastAsia" w:hAnsiTheme="minorEastAsia" w:eastAsiaTheme="minorEastAsia"/>
              </w:rPr>
              <w:t>风险预防服务</w:t>
            </w:r>
          </w:p>
          <w:p>
            <w:pPr>
              <w:spacing w:line="380" w:lineRule="exact"/>
              <w:jc w:val="center"/>
              <w:rPr>
                <w:rFonts w:asciiTheme="minorEastAsia" w:hAnsiTheme="minorEastAsia" w:eastAsiaTheme="minorEastAsia"/>
              </w:rPr>
            </w:pPr>
            <w:r>
              <w:rPr>
                <w:rFonts w:hint="eastAsia" w:cs="微软雅黑" w:asciiTheme="minorEastAsia" w:hAnsiTheme="minorEastAsia" w:eastAsiaTheme="minorEastAsia"/>
              </w:rPr>
              <w:t>（9分）</w:t>
            </w:r>
          </w:p>
        </w:tc>
        <w:tc>
          <w:tcPr>
            <w:tcW w:w="5330" w:type="dxa"/>
            <w:vAlign w:val="center"/>
          </w:tcPr>
          <w:p>
            <w:pPr>
              <w:spacing w:line="380" w:lineRule="exact"/>
              <w:rPr>
                <w:rFonts w:asciiTheme="minorEastAsia" w:hAnsiTheme="minorEastAsia" w:eastAsiaTheme="minorEastAsia"/>
              </w:rPr>
            </w:pPr>
            <w:r>
              <w:rPr>
                <w:rFonts w:hint="eastAsia" w:cs="微软雅黑" w:asciiTheme="minorEastAsia" w:hAnsiTheme="minorEastAsia" w:eastAsiaTheme="minorEastAsia"/>
              </w:rPr>
              <w:t>评审小组根据响应单位提供的风险预防服务的优劣程度进行评分。</w:t>
            </w:r>
            <w:r>
              <w:rPr>
                <w:rFonts w:hint="eastAsia" w:asciiTheme="minorEastAsia" w:hAnsiTheme="minorEastAsia" w:eastAsiaTheme="minorEastAsia"/>
              </w:rPr>
              <w:t>优得7-9分、良得4-6分、一般得1-3分、未提供或差得0分。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restart"/>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商务部分得分（</w:t>
            </w:r>
            <w:r>
              <w:rPr>
                <w:rFonts w:asciiTheme="minorEastAsia" w:hAnsiTheme="minorEastAsia" w:eastAsiaTheme="minorEastAsia"/>
              </w:rPr>
              <w:t>C</w:t>
            </w:r>
            <w:r>
              <w:rPr>
                <w:rFonts w:hint="eastAsia" w:asciiTheme="minorEastAsia" w:hAnsiTheme="minorEastAsia" w:eastAsiaTheme="minorEastAsia"/>
              </w:rPr>
              <w:t>）</w:t>
            </w: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业绩</w:t>
            </w:r>
          </w:p>
          <w:p>
            <w:pPr>
              <w:spacing w:line="380" w:lineRule="exact"/>
              <w:jc w:val="center"/>
              <w:rPr>
                <w:rFonts w:asciiTheme="minorEastAsia" w:hAnsiTheme="minorEastAsia" w:eastAsiaTheme="minorEastAsia"/>
              </w:rPr>
            </w:pPr>
            <w:r>
              <w:rPr>
                <w:rFonts w:hint="eastAsia" w:asciiTheme="minorEastAsia" w:hAnsiTheme="minorEastAsia" w:eastAsiaTheme="minorEastAsia"/>
              </w:rPr>
              <w:t>（4分）</w:t>
            </w:r>
          </w:p>
        </w:tc>
        <w:tc>
          <w:tcPr>
            <w:tcW w:w="5330"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2020年1月1日至今，响应人有服务医疗机构医疗责任保险的服务经验，服务医疗机构数量50个及以上得4分,20（含）-49个得2分，10（含）-19个得1分，其他不得分。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偿付能力充足率（4分）</w:t>
            </w:r>
          </w:p>
        </w:tc>
        <w:tc>
          <w:tcPr>
            <w:tcW w:w="5330" w:type="dxa"/>
            <w:vAlign w:val="center"/>
          </w:tcPr>
          <w:p>
            <w:pPr>
              <w:spacing w:line="360" w:lineRule="exact"/>
              <w:rPr>
                <w:rFonts w:ascii="宋体" w:hAnsi="宋体"/>
              </w:rPr>
            </w:pPr>
            <w:r>
              <w:rPr>
                <w:rFonts w:hint="eastAsia" w:ascii="宋体" w:hAnsi="宋体"/>
              </w:rPr>
              <w:t>企业实力偿付能力（4分）</w:t>
            </w:r>
          </w:p>
          <w:p>
            <w:pPr>
              <w:spacing w:line="360" w:lineRule="exact"/>
              <w:rPr>
                <w:rFonts w:ascii="宋体" w:hAnsi="宋体"/>
                <w:color w:val="FF0000"/>
              </w:rPr>
            </w:pPr>
            <w:r>
              <w:rPr>
                <w:rFonts w:hint="eastAsia" w:ascii="宋体" w:hAnsi="宋体"/>
              </w:rPr>
              <w:t>响应人总公司核心偿付能力充足率（2022年四季度）250%以上，优秀得4分。200%（含）-250%，良好得2分，200%以下，不得分。提供正规的偿付能力披露报告，未提供不得分。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60" w:lineRule="exact"/>
              <w:jc w:val="center"/>
              <w:rPr>
                <w:rFonts w:ascii="宋体" w:hAnsi="宋体"/>
              </w:rPr>
            </w:pPr>
            <w:r>
              <w:rPr>
                <w:rFonts w:hint="eastAsia" w:ascii="宋体" w:hAnsi="宋体"/>
              </w:rPr>
              <w:t>消费投诉情况</w:t>
            </w:r>
          </w:p>
          <w:p>
            <w:pPr>
              <w:spacing w:line="360" w:lineRule="exact"/>
              <w:jc w:val="center"/>
              <w:rPr>
                <w:rFonts w:ascii="宋体" w:hAnsi="宋体"/>
              </w:rPr>
            </w:pPr>
            <w:r>
              <w:rPr>
                <w:rFonts w:hint="eastAsia" w:ascii="宋体" w:hAnsi="宋体"/>
              </w:rPr>
              <w:t>（4分）</w:t>
            </w:r>
          </w:p>
        </w:tc>
        <w:tc>
          <w:tcPr>
            <w:tcW w:w="5330" w:type="dxa"/>
            <w:vAlign w:val="center"/>
          </w:tcPr>
          <w:p>
            <w:pPr>
              <w:spacing w:line="360" w:lineRule="exact"/>
              <w:rPr>
                <w:rFonts w:ascii="宋体" w:hAnsi="宋体"/>
              </w:rPr>
            </w:pPr>
            <w:r>
              <w:rPr>
                <w:rFonts w:hint="eastAsia" w:ascii="宋体" w:hAnsi="宋体"/>
              </w:rPr>
              <w:t>响应人2022年四季度在渝监管机构统计消费投诉情况中年均亿元保费投诉量（件/亿元）进行排名，投诉量最低的为优秀得4分，投诉量第二，为良好得2分，投诉量第三，为一般得1分。投诉量第四及以上不得分。</w:t>
            </w:r>
          </w:p>
          <w:p>
            <w:pPr>
              <w:spacing w:line="380" w:lineRule="exact"/>
              <w:rPr>
                <w:rFonts w:asciiTheme="minorEastAsia" w:hAnsiTheme="minorEastAsia" w:eastAsiaTheme="minorEastAsia"/>
                <w:color w:val="FF0000"/>
              </w:rPr>
            </w:pPr>
            <w:r>
              <w:rPr>
                <w:rFonts w:hint="eastAsia" w:ascii="宋体" w:hAnsi="宋体"/>
              </w:rPr>
              <w:t>提供正规的统计报告（可提供关健页）。未提供不得分。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77" w:type="dxa"/>
            <w:vMerge w:val="continue"/>
            <w:vAlign w:val="center"/>
          </w:tcPr>
          <w:p>
            <w:pPr>
              <w:spacing w:line="380" w:lineRule="exact"/>
              <w:rPr>
                <w:rFonts w:asciiTheme="minorEastAsia" w:hAnsiTheme="minorEastAsia" w:eastAsiaTheme="minorEastAsia"/>
              </w:rPr>
            </w:pPr>
          </w:p>
        </w:tc>
        <w:tc>
          <w:tcPr>
            <w:tcW w:w="17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优惠承诺</w:t>
            </w:r>
          </w:p>
          <w:p>
            <w:pPr>
              <w:spacing w:line="380" w:lineRule="exact"/>
              <w:jc w:val="center"/>
              <w:rPr>
                <w:rFonts w:asciiTheme="minorEastAsia" w:hAnsiTheme="minorEastAsia" w:eastAsiaTheme="minorEastAsia"/>
              </w:rPr>
            </w:pPr>
            <w:r>
              <w:rPr>
                <w:rFonts w:hint="eastAsia" w:asciiTheme="minorEastAsia" w:hAnsiTheme="minorEastAsia" w:eastAsiaTheme="minorEastAsia"/>
              </w:rPr>
              <w:t>（11分）</w:t>
            </w:r>
          </w:p>
        </w:tc>
        <w:tc>
          <w:tcPr>
            <w:tcW w:w="5330" w:type="dxa"/>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提供的额外的优惠服务承诺如：无免赔额加3分；每人每次责任限额提升至50万及以上，累计责任限额提升至200万及以上得2分；响应第三章第三条第三款追溯期特别约定加6分，由评审小组依据响应情况进行评审。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85" w:type="dxa"/>
            <w:gridSpan w:val="3"/>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得分=A+B</w:t>
            </w:r>
            <w:r>
              <w:rPr>
                <w:rFonts w:asciiTheme="minorEastAsia" w:hAnsiTheme="minorEastAsia" w:eastAsiaTheme="minorEastAsia"/>
              </w:rPr>
              <w:t>+C</w:t>
            </w:r>
            <w:r>
              <w:rPr>
                <w:rFonts w:hint="eastAsia" w:asciiTheme="minorEastAsia" w:hAnsiTheme="minorEastAsia" w:eastAsiaTheme="minorEastAsia"/>
              </w:rPr>
              <w:t>。</w:t>
            </w:r>
          </w:p>
        </w:tc>
      </w:tr>
    </w:tbl>
    <w:p>
      <w:pPr>
        <w:spacing w:line="420" w:lineRule="exact"/>
        <w:ind w:firstLine="482" w:firstLineChars="200"/>
        <w:rPr>
          <w:rFonts w:ascii="宋体" w:cs="宋体"/>
          <w:bCs/>
          <w:sz w:val="24"/>
          <w:szCs w:val="24"/>
        </w:rPr>
      </w:pPr>
      <w:r>
        <w:rPr>
          <w:rFonts w:hint="eastAsia" w:ascii="宋体" w:hAnsi="宋体" w:cs="宋体"/>
          <w:b/>
          <w:bCs/>
          <w:sz w:val="24"/>
          <w:szCs w:val="24"/>
          <w:lang w:eastAsia="zh-CN"/>
        </w:rPr>
        <w:t>三</w:t>
      </w:r>
      <w:r>
        <w:rPr>
          <w:rFonts w:hint="eastAsia" w:ascii="宋体" w:hAnsi="宋体" w:cs="宋体"/>
          <w:b/>
          <w:bCs/>
          <w:sz w:val="24"/>
          <w:szCs w:val="24"/>
        </w:rPr>
        <w:t>、报价及结算币种</w:t>
      </w:r>
      <w:r>
        <w:rPr>
          <w:rFonts w:hint="eastAsia" w:ascii="宋体" w:hAnsi="宋体" w:cs="宋体"/>
          <w:bCs/>
          <w:sz w:val="24"/>
          <w:szCs w:val="24"/>
        </w:rPr>
        <w:t>：人民币。</w:t>
      </w:r>
    </w:p>
    <w:p>
      <w:pPr>
        <w:spacing w:line="420" w:lineRule="exact"/>
        <w:ind w:firstLine="482" w:firstLineChars="200"/>
        <w:rPr>
          <w:rFonts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、响应人不足的情形</w:t>
      </w:r>
    </w:p>
    <w:p>
      <w:pPr>
        <w:spacing w:line="420" w:lineRule="exact"/>
        <w:ind w:firstLine="480" w:firstLineChars="200"/>
        <w:rPr>
          <w:rFonts w:ascii="宋体" w:hAns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1．截止时间止，响应人少于 3 个的。</w:t>
      </w:r>
    </w:p>
    <w:p>
      <w:pPr>
        <w:spacing w:line="420" w:lineRule="exact"/>
        <w:ind w:firstLine="480" w:firstLineChars="200"/>
        <w:rPr>
          <w:rFonts w:ascii="宋体" w:hAnsi="宋体" w:cs="宋体"/>
          <w:sz w:val="24"/>
          <w:szCs w:val="24"/>
        </w:rPr>
      </w:pPr>
      <w:r>
        <w:rPr>
          <w:rFonts w:hint="eastAsia" w:ascii="宋体" w:hAnsi="宋体" w:cs="宋体"/>
          <w:sz w:val="24"/>
          <w:szCs w:val="24"/>
        </w:rPr>
        <w:t>2．经评审小组评审后否决所有响应人的。</w:t>
      </w:r>
    </w:p>
    <w:p>
      <w:pPr>
        <w:spacing w:line="420" w:lineRule="exact"/>
        <w:ind w:firstLine="480" w:firstLineChars="200"/>
        <w:rPr>
          <w:rFonts w:ascii="宋体" w:hAnsi="宋体" w:cs="宋体"/>
          <w:sz w:val="24"/>
          <w:szCs w:val="24"/>
        </w:rPr>
      </w:pPr>
      <w:r>
        <w:rPr>
          <w:rFonts w:hint="eastAsia" w:ascii="宋体" w:hAnsi="宋体" w:cs="宋体"/>
          <w:sz w:val="24"/>
          <w:szCs w:val="24"/>
        </w:rPr>
        <w:t>3．经评审后，如有效响应人不足三个的，且使得比选明显缺乏竞争的，评审小组可以否决全部响应人，比选人将重新组织比选。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五</w:t>
      </w:r>
      <w:r>
        <w:rPr>
          <w:rFonts w:hint="eastAsia" w:ascii="宋体" w:hAnsi="宋体" w:cs="宋体"/>
          <w:b/>
          <w:bCs/>
          <w:sz w:val="24"/>
          <w:szCs w:val="24"/>
        </w:rPr>
        <w:t>、比选有效期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b/>
          <w:bCs/>
          <w:sz w:val="24"/>
          <w:szCs w:val="24"/>
        </w:rPr>
      </w:pPr>
      <w:r>
        <w:rPr>
          <w:rFonts w:hint="eastAsia" w:ascii="宋体" w:hAnsi="宋体" w:cs="宋体"/>
          <w:b/>
          <w:bCs/>
          <w:sz w:val="24"/>
          <w:szCs w:val="24"/>
          <w:lang w:eastAsia="zh-CN"/>
        </w:rPr>
        <w:t>六</w:t>
      </w:r>
      <w:r>
        <w:rPr>
          <w:rFonts w:hint="eastAsia" w:ascii="宋体" w:hAnsi="宋体" w:cs="宋体"/>
          <w:b/>
          <w:bCs/>
          <w:sz w:val="24"/>
          <w:szCs w:val="24"/>
        </w:rPr>
        <w:t>、付款方式：</w:t>
      </w:r>
      <w:r>
        <w:rPr>
          <w:rFonts w:hint="eastAsia" w:asciiTheme="minorEastAsia" w:hAnsiTheme="minorEastAsia" w:eastAsiaTheme="minorEastAsia"/>
          <w:sz w:val="24"/>
          <w:szCs w:val="24"/>
        </w:rPr>
        <w:t>由合同约定。</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资质部分；</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Theme="minorEastAsia" w:hAnsiTheme="minorEastAsia" w:eastAsiaTheme="minorEastAsia"/>
          <w:sz w:val="24"/>
          <w:szCs w:val="24"/>
        </w:rPr>
        <w:t>注意：以上资料应加盖鲜章，响应文件应提交正本一份，副本一份密封装袋，并加盖响应人公章。未按规定密封的响应文件将被拒绝接收。本次比选须由法定代表人（主要负责人）或其代理人（附授权委托书）参加，并携带身份证原件。</w:t>
      </w:r>
    </w:p>
    <w:p>
      <w:pPr>
        <w:spacing w:line="420" w:lineRule="exact"/>
        <w:ind w:firstLine="482" w:firstLineChars="200"/>
        <w:rPr>
          <w:rFonts w:ascii="宋体"/>
          <w:sz w:val="24"/>
          <w:szCs w:val="24"/>
        </w:rPr>
      </w:pPr>
      <w:r>
        <w:rPr>
          <w:rFonts w:hint="eastAsia" w:ascii="宋体" w:hAnsi="宋体" w:cs="宋体"/>
          <w:b/>
          <w:bCs/>
          <w:sz w:val="24"/>
          <w:szCs w:val="24"/>
          <w:lang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rPr>
          <w:rFonts w:ascii="宋体" w:hAnsi="宋体" w:cs="宋体"/>
          <w:b/>
          <w:bCs/>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spacing w:line="420" w:lineRule="exact"/>
        <w:jc w:val="center"/>
        <w:rPr>
          <w:rFonts w:ascii="宋体" w:hAnsi="宋体"/>
          <w:b/>
          <w:sz w:val="24"/>
          <w:szCs w:val="24"/>
        </w:rPr>
      </w:pPr>
      <w:r>
        <w:rPr>
          <w:rFonts w:hint="eastAsia" w:ascii="宋体" w:hAnsi="宋体"/>
          <w:b/>
          <w:sz w:val="24"/>
          <w:szCs w:val="24"/>
        </w:rPr>
        <w:t>第三章  项目服务需求及方案</w:t>
      </w:r>
    </w:p>
    <w:p>
      <w:pPr>
        <w:spacing w:line="420" w:lineRule="exact"/>
        <w:ind w:firstLine="482" w:firstLineChars="200"/>
        <w:rPr>
          <w:rFonts w:asciiTheme="minorEastAsia" w:hAnsiTheme="minorEastAsia" w:eastAsiaTheme="minorEastAsia"/>
          <w:b/>
          <w:sz w:val="24"/>
          <w:szCs w:val="24"/>
        </w:rPr>
      </w:pPr>
    </w:p>
    <w:p>
      <w:pPr>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一、计费因子数据</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2022年比选人床位数800张，有医务人员数量：医生247人，护士465人，其他医技人员74人，年门诊人次：642416，年住院人次：24935。</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2、具体投保数量以实际情况为准。</w:t>
      </w:r>
    </w:p>
    <w:p>
      <w:pPr>
        <w:spacing w:line="420" w:lineRule="exact"/>
        <w:ind w:firstLine="482" w:firstLineChars="200"/>
        <w:rPr>
          <w:rFonts w:asciiTheme="minorEastAsia" w:hAnsiTheme="minorEastAsia" w:eastAsiaTheme="minorEastAsia"/>
          <w:b/>
          <w:sz w:val="24"/>
          <w:szCs w:val="24"/>
        </w:rPr>
      </w:pPr>
      <w:bookmarkStart w:id="2" w:name="_Toc26977870"/>
      <w:r>
        <w:rPr>
          <w:rFonts w:hint="eastAsia" w:asciiTheme="minorEastAsia" w:hAnsiTheme="minorEastAsia" w:eastAsiaTheme="minorEastAsia"/>
          <w:b/>
          <w:sz w:val="24"/>
          <w:szCs w:val="24"/>
        </w:rPr>
        <w:t>二、医疗机构责任保险方案</w:t>
      </w:r>
      <w:bookmarkEnd w:id="2"/>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投保人：重钢总医院。</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承保区域：重钢总医院。</w:t>
      </w:r>
    </w:p>
    <w:p>
      <w:pPr>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（一）保险险种--医疗机构责任保险（主险）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1、保障范围</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比选人在诊疗活动中因执业过失导致患者人身损害而负担的赔偿责任以及精神损害费用、法律费用等，保险人根据保险合同约定负责赔偿。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2、责任限额和保费价格</w:t>
      </w:r>
    </w:p>
    <w:tbl>
      <w:tblPr>
        <w:tblStyle w:val="15"/>
        <w:tblpPr w:leftFromText="180" w:rightFromText="180" w:vertAnchor="text" w:horzAnchor="margin" w:tblpXSpec="center" w:tblpY="77"/>
        <w:tblW w:w="4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4" w:type="pct"/>
            <w:vMerge w:val="restar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医疗机构责任保险</w:t>
            </w:r>
          </w:p>
        </w:tc>
        <w:tc>
          <w:tcPr>
            <w:tcW w:w="1725"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每人每次责任限额</w:t>
            </w:r>
          </w:p>
        </w:tc>
        <w:tc>
          <w:tcPr>
            <w:tcW w:w="1412"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累计责任限额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64" w:type="pct"/>
            <w:vMerge w:val="continue"/>
            <w:vAlign w:val="center"/>
          </w:tcPr>
          <w:p>
            <w:pPr>
              <w:spacing w:line="420" w:lineRule="exact"/>
              <w:ind w:firstLine="480" w:firstLineChars="200"/>
              <w:jc w:val="center"/>
              <w:rPr>
                <w:rFonts w:asciiTheme="minorEastAsia" w:hAnsiTheme="minorEastAsia" w:eastAsiaTheme="minorEastAsia"/>
                <w:sz w:val="24"/>
                <w:szCs w:val="24"/>
              </w:rPr>
            </w:pPr>
          </w:p>
        </w:tc>
        <w:tc>
          <w:tcPr>
            <w:tcW w:w="1725"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50万元</w:t>
            </w:r>
          </w:p>
        </w:tc>
        <w:tc>
          <w:tcPr>
            <w:tcW w:w="1412"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150万元</w:t>
            </w:r>
          </w:p>
        </w:tc>
      </w:tr>
    </w:tbl>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责任限额说明：</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（1）每人责任限额是指在保险年度内，比选人造成每一名患者人身损害，在保险责任范围内获得的最高赔偿金额。</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（2）累计责任限额是指比选人在保险年度内获得的最高赔偿金额。若保险年度内比选人累计获得的赔款等于累计责任限额，则该医疗机构的保险单项下的保险责任终止。</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精神损害费用每人责任限额为主险每人责任限额的10%，累计责任限额为主险累计责任限额的10%，且在主险责任限额之内计算。</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（4）法律费用每次事故责任限额为主险每人责任限额的10%，累计责任限额为主险累计责任限额的10%，且在主险责任限额之内计算。</w:t>
      </w:r>
    </w:p>
    <w:p>
      <w:pPr>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（二）保险险种--附加险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1、附加险保险险种</w:t>
      </w:r>
    </w:p>
    <w:tbl>
      <w:tblPr>
        <w:tblStyle w:val="15"/>
        <w:tblW w:w="4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55" w:type="pct"/>
            <w:vMerge w:val="restar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附加险</w:t>
            </w:r>
          </w:p>
        </w:tc>
        <w:tc>
          <w:tcPr>
            <w:tcW w:w="3245"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55" w:type="pct"/>
            <w:vMerge w:val="continue"/>
            <w:vAlign w:val="center"/>
          </w:tcPr>
          <w:p>
            <w:pPr>
              <w:spacing w:line="420" w:lineRule="exact"/>
              <w:ind w:firstLine="480" w:firstLineChars="200"/>
              <w:jc w:val="center"/>
              <w:rPr>
                <w:rFonts w:asciiTheme="minorEastAsia" w:hAnsiTheme="minorEastAsia" w:eastAsiaTheme="minorEastAsia"/>
                <w:sz w:val="24"/>
                <w:szCs w:val="24"/>
              </w:rPr>
            </w:pPr>
          </w:p>
        </w:tc>
        <w:tc>
          <w:tcPr>
            <w:tcW w:w="3245" w:type="pct"/>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医疗机构场所责任保险</w:t>
            </w:r>
          </w:p>
        </w:tc>
      </w:tr>
    </w:tbl>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2、附加险保障范围</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（1）医疗意外保险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保险单载明的保险期间或追溯期内，在比选人及其保险单载明的医务人员从事与其诊疗科目、医务人员执业资格相符的诊疗活动中造成患者人身损害，患者和比选人对损害的发生都没有过错，在保险期间内，由患方首次向比选人提出损害赔偿请求，依照法院判决、仲裁裁决或保险人认可的调解协议，应由比选人给予患方的经济补偿，保险人按照保险合同约定负责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（2）医疗机构场所责任保险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保险单载明的保险期间内，由于下列原因导致第三者（含患者）的人身损害或财产损失，依照中华人民共和国法律（不包括港、澳、台地区法律）应由比选人承担的经济赔偿责任，保险人按照保险合同约定负责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比选人的公共设施存在缺陷或者比选人对其管理不善或操作、维护不当；比选人或其工作人员的过失导致的火灾、爆炸；比选人或其工作人员的过失导致比选人提供的食品引发食物中毒或其他食源性疾患。</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3、附加险责任限额/保险金额</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0"/>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10"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险种</w:t>
            </w:r>
          </w:p>
        </w:tc>
        <w:tc>
          <w:tcPr>
            <w:tcW w:w="5152"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责任限额/保险金额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810"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公平分担损失保险</w:t>
            </w:r>
          </w:p>
        </w:tc>
        <w:tc>
          <w:tcPr>
            <w:tcW w:w="5152"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每人和累计责任限额为主险责任限额的20%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810"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医疗机构场所责任保险</w:t>
            </w:r>
          </w:p>
        </w:tc>
        <w:tc>
          <w:tcPr>
            <w:tcW w:w="5152" w:type="dxa"/>
            <w:vAlign w:val="center"/>
          </w:tcPr>
          <w:p>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每次事故和累计责任限额同主险累计责任限额</w:t>
            </w:r>
          </w:p>
        </w:tc>
      </w:tr>
    </w:tbl>
    <w:p>
      <w:pPr>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三、特约约定及其他保险条件</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1、医务人员特别约定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所称医务人员，包括执业（助理）医师、注册护士、药师（士）、检验技师、影像技师（士）等卫生专业人员，以及医疗管理人员、进修医务人员、规培人员、外聘医务人员、外请会诊医务人员、符合多点执业条件的医务人员等。无论其处于何岗位，只要实际从事具体诊疗活动，便属于医务人员。保险人同意投保医疗机构投保时可不提供外请医务人员名单。</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2、承保基础特别约定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本项目的承保基础为期内索赔制，即保险事故索赔发生日期须在保险期间内。索赔发生日期是指受害人或其家属首次以口头或书面形式向比选人提出索赔的日期。</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3、追溯期特别约定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本保险设定追溯期，首年投保追溯期为1年，第二年续保，追溯期为2年。</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追溯期内，被保险人的医务人员在诊疗活动中，因执业中非故意行为造成患者人身损害，在本保险期间内，由患者、其近亲属或合法继承人首次向被保险人提出索赔申请，依法应由被保险人承担民事赔偿责任时，保险人按照本保险合同的约定负责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4、足额投保特别约定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比选人如实提供投保数据，保险人一旦承保，则视为比选人足额投保，且保险人不得因为比选人在保险期限内发生医务人员变动、门诊人次数等投保数据变化而要求比例赔偿或拒赔赔偿。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比选人在投保时应如实告知床位数，如果投保时床位数与实际床位数不相符，保险人可进行相应的保费增加。</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比选人在保险期间发生医务人员变动，应及时向保险人告知。如果医务人员变动不超过投保医务人员数量的10%，保险人不增加保费，如果医务人员变动超过投保医务人员数量的10%，保险人应进行相应的保费增加。</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5、医疗机构类别特别约定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按照比选人的《医疗机构执业许可证》中所列医疗机构所属类别类型计算保费。</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6、责任认定特别约定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保险人以下列方式之一确定的比选人的赔偿责任为基础，按照相应约定进行赔偿：</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（1）比选人和向其提出损害赔偿请求的患者协商并经保险人确认；</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（2）在保险人的共同参与下，由重庆市各级医疗纠纷人民调解委员会合理调解；</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（3）由重庆市各级卫生行政部门调解，调解结果经保险人认可的；</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（4）仲裁机构裁决；</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（5）人民法院判决；</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（6）保险人认可的其它方式认定。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本条特别约定只适用于医疗责任保险（主险）。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7、索赔单证特别约定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比选人向保险人请求赔偿时，提交下列单证材料：</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（1）有关责任人的资格或执业证明；</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（2）患者或其近亲属的书面索赔申请；</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（3）保险事故情况说明、赔偿项目清单；</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（5）如将赔款支付给比选人的，需提供比选人已经向第三者支付赔偿金的书面证明材料。</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本条特别约定只适用于医疗责任保险（主险）。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8、诊疗活动特别约定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所指的诊疗活动是指通过各种检查，使用药物、器械及手术等方法，对疾病作出判断和消除疾病、缓解病情、减轻痛苦、改善功能、延长生命、帮助患者恢复健康的活动，包括诊断、治疗、护理环节及体检、医学整形。</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本条特别约定只适用于医疗责任保险（主险）。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9、律师费特别约定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本项目所指的律师费是指比选人因医疗责任纠纷诉讼所产生的律师服务费，律师费用每次事故赔偿限额为人民币10000元。</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本条特别约定只适用于医疗责任保险（主险）。</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10、及时报案特别约定</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发生保险责任范围内的事故后，投保人、比选人在五个工作日内通知保险人。</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（二）免赔额</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绝对免赔额1万元。</w:t>
      </w:r>
    </w:p>
    <w:p>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四、除第三章第三条第三款“追溯期特别约定”外，本章内容为全部响应或正偏离条件，未全部响应或负偏离的按作废处理。</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w:t>
      </w:r>
      <w:r>
        <w:rPr>
          <w:rFonts w:hint="eastAsia" w:ascii="宋体" w:hAnsi="宋体"/>
          <w:sz w:val="24"/>
          <w:szCs w:val="24"/>
          <w:lang w:eastAsia="zh-CN"/>
        </w:rPr>
        <w:t>响应函</w:t>
      </w:r>
      <w:r>
        <w:rPr>
          <w:rFonts w:hint="eastAsia" w:ascii="宋体" w:hAnsi="宋体"/>
          <w:sz w:val="24"/>
          <w:szCs w:val="24"/>
        </w:rPr>
        <w:t>；</w:t>
      </w:r>
    </w:p>
    <w:p>
      <w:pPr>
        <w:spacing w:line="480" w:lineRule="exact"/>
        <w:ind w:firstLine="480" w:firstLineChars="200"/>
        <w:jc w:val="left"/>
        <w:rPr>
          <w:rFonts w:ascii="宋体" w:hAnsi="宋体"/>
          <w:sz w:val="24"/>
          <w:szCs w:val="24"/>
        </w:rPr>
      </w:pPr>
      <w:r>
        <w:rPr>
          <w:rFonts w:hint="eastAsia" w:ascii="宋体" w:hAnsi="宋体"/>
          <w:sz w:val="24"/>
          <w:szCs w:val="24"/>
        </w:rPr>
        <w:t>二、授权委托书；</w:t>
      </w:r>
    </w:p>
    <w:p>
      <w:pPr>
        <w:spacing w:line="480" w:lineRule="exact"/>
        <w:ind w:firstLine="480" w:firstLineChars="200"/>
        <w:jc w:val="left"/>
        <w:rPr>
          <w:rFonts w:hint="eastAsia" w:ascii="宋体" w:hAnsi="宋体"/>
          <w:sz w:val="24"/>
          <w:szCs w:val="24"/>
        </w:rPr>
      </w:pPr>
      <w:r>
        <w:rPr>
          <w:rFonts w:hint="eastAsia" w:ascii="宋体" w:hAnsi="宋体"/>
          <w:sz w:val="24"/>
          <w:szCs w:val="24"/>
        </w:rPr>
        <w:t>三、法定代表人（主要负责人）身份证明；</w:t>
      </w:r>
    </w:p>
    <w:p>
      <w:pPr>
        <w:spacing w:line="48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四、书面申明；</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五、</w:t>
      </w:r>
      <w:r>
        <w:rPr>
          <w:rFonts w:hint="eastAsia" w:ascii="宋体" w:hAnsi="宋体"/>
          <w:sz w:val="24"/>
          <w:szCs w:val="24"/>
        </w:rPr>
        <w:t>资质部分；</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六</w:t>
      </w:r>
      <w:r>
        <w:rPr>
          <w:rFonts w:hint="eastAsia" w:ascii="宋体" w:hAnsi="宋体"/>
          <w:sz w:val="24"/>
          <w:szCs w:val="24"/>
        </w:rPr>
        <w:t>、商务部分；</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七</w:t>
      </w:r>
      <w:r>
        <w:rPr>
          <w:rFonts w:hint="eastAsia" w:ascii="宋体" w:hAnsi="宋体"/>
          <w:sz w:val="24"/>
          <w:szCs w:val="24"/>
        </w:rPr>
        <w:t>、技术部分；</w:t>
      </w:r>
    </w:p>
    <w:p>
      <w:pPr>
        <w:spacing w:line="480" w:lineRule="exact"/>
        <w:ind w:firstLine="480" w:firstLineChars="200"/>
        <w:jc w:val="left"/>
        <w:rPr>
          <w:rFonts w:ascii="宋体" w:hAnsi="宋体"/>
          <w:sz w:val="24"/>
          <w:szCs w:val="24"/>
        </w:rPr>
      </w:pPr>
      <w:r>
        <w:rPr>
          <w:rFonts w:hint="eastAsia" w:ascii="宋体" w:hAnsi="宋体"/>
          <w:sz w:val="24"/>
          <w:szCs w:val="24"/>
          <w:lang w:eastAsia="zh-CN"/>
        </w:rPr>
        <w:t>八</w:t>
      </w:r>
      <w:r>
        <w:rPr>
          <w:rFonts w:hint="eastAsia" w:ascii="宋体" w:hAnsi="宋体"/>
          <w:sz w:val="24"/>
          <w:szCs w:val="24"/>
        </w:rPr>
        <w:t>、其它须说明材料。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widowControl/>
        <w:spacing w:after="156"/>
        <w:jc w:val="left"/>
        <w:rPr>
          <w:rFonts w:ascii="宋体" w:hAnsi="宋体" w:cs="宋体"/>
          <w:b/>
          <w:bCs/>
        </w:rPr>
      </w:pPr>
      <w:r>
        <w:rPr>
          <w:rFonts w:ascii="宋体" w:hAnsi="宋体" w:cs="宋体"/>
          <w:b/>
          <w:bCs/>
        </w:rPr>
        <w:br w:type="page"/>
      </w:r>
    </w:p>
    <w:p>
      <w:pPr>
        <w:spacing w:line="400" w:lineRule="exact"/>
        <w:jc w:val="center"/>
        <w:rPr>
          <w:rFonts w:ascii="宋体"/>
          <w:b/>
          <w:sz w:val="32"/>
          <w:szCs w:val="32"/>
        </w:rPr>
      </w:pPr>
      <w:r>
        <w:rPr>
          <w:rFonts w:hint="eastAsia" w:ascii="宋体" w:hAnsi="宋体"/>
          <w:b/>
          <w:sz w:val="32"/>
          <w:szCs w:val="32"/>
        </w:rPr>
        <w:t>一、响</w:t>
      </w:r>
      <w:r>
        <w:rPr>
          <w:rFonts w:ascii="宋体" w:hAnsi="宋体"/>
          <w:b/>
          <w:sz w:val="32"/>
          <w:szCs w:val="32"/>
        </w:rPr>
        <w:t xml:space="preserve"> </w:t>
      </w:r>
      <w:r>
        <w:rPr>
          <w:rFonts w:hint="eastAsia" w:ascii="宋体" w:hAnsi="宋体"/>
          <w:b/>
          <w:sz w:val="32"/>
          <w:szCs w:val="32"/>
        </w:rPr>
        <w:t>应</w:t>
      </w:r>
      <w:r>
        <w:rPr>
          <w:rFonts w:ascii="宋体" w:hAnsi="宋体"/>
          <w:b/>
          <w:sz w:val="32"/>
          <w:szCs w:val="32"/>
        </w:rPr>
        <w:t xml:space="preserve"> </w:t>
      </w:r>
      <w:r>
        <w:rPr>
          <w:rFonts w:hint="eastAsia" w:ascii="宋体" w:hAnsi="宋体"/>
          <w:b/>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sz w:val="24"/>
          <w:szCs w:val="24"/>
          <w:u w:val="single"/>
        </w:rPr>
        <w:t xml:space="preserve">                          </w:t>
      </w:r>
      <w:r>
        <w:rPr>
          <w:rFonts w:hint="eastAsia"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rPr>
        <w:t>（</w:t>
      </w:r>
      <w:r>
        <w:rPr>
          <w:rFonts w:hint="eastAsia" w:ascii="宋体"/>
          <w:sz w:val="24"/>
          <w:szCs w:val="24"/>
        </w:rPr>
        <w:t>￥</w:t>
      </w:r>
      <w:r>
        <w:rPr>
          <w:rFonts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）比选报价函；</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）法定代表人（主要负责人）身份证明及授权委托书；</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）营业执照副本；</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）商务部分；</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）技术部分；</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）其它须说明材料。</w:t>
      </w:r>
    </w:p>
    <w:p>
      <w:pPr>
        <w:spacing w:line="460" w:lineRule="exact"/>
        <w:ind w:firstLine="480" w:firstLineChars="200"/>
        <w:jc w:val="left"/>
        <w:rPr>
          <w:rFonts w:ascii="宋体"/>
          <w:sz w:val="24"/>
          <w:szCs w:val="24"/>
        </w:rPr>
      </w:pPr>
      <w:r>
        <w:rPr>
          <w:rFonts w:hint="eastAsia" w:ascii="宋体" w:hAnsi="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sz w:val="24"/>
          <w:szCs w:val="24"/>
        </w:rPr>
        <w:t>供</w:t>
      </w:r>
      <w:r>
        <w:rPr>
          <w:rFonts w:ascii="宋体" w:hAnsi="宋体"/>
          <w:sz w:val="24"/>
          <w:szCs w:val="24"/>
        </w:rPr>
        <w:t xml:space="preserve"> </w:t>
      </w:r>
      <w:r>
        <w:rPr>
          <w:rFonts w:hint="eastAsia" w:ascii="宋体" w:hAnsi="宋体"/>
          <w:sz w:val="24"/>
          <w:szCs w:val="24"/>
        </w:rPr>
        <w:t>应</w:t>
      </w:r>
      <w:r>
        <w:rPr>
          <w:rFonts w:ascii="宋体" w:hAnsi="宋体"/>
          <w:sz w:val="24"/>
          <w:szCs w:val="24"/>
        </w:rPr>
        <w:t xml:space="preserve"> </w:t>
      </w:r>
      <w:r>
        <w:rPr>
          <w:rFonts w:hint="eastAsia" w:ascii="宋体" w:hAnsi="宋体"/>
          <w:sz w:val="24"/>
          <w:szCs w:val="24"/>
        </w:rPr>
        <w:t>商：</w:t>
      </w:r>
      <w:r>
        <w:rPr>
          <w:rFonts w:ascii="宋体" w:hAnsi="宋体"/>
          <w:sz w:val="24"/>
          <w:szCs w:val="24"/>
          <w:u w:val="single"/>
        </w:rPr>
        <w:t xml:space="preserve">                                      </w:t>
      </w:r>
      <w:r>
        <w:rPr>
          <w:rFonts w:hint="eastAsia" w:ascii="宋体" w:hAnsi="宋体"/>
          <w:sz w:val="24"/>
          <w:szCs w:val="24"/>
        </w:rPr>
        <w:t>（盖单位章）</w:t>
      </w:r>
    </w:p>
    <w:p>
      <w:pPr>
        <w:spacing w:line="460" w:lineRule="exact"/>
        <w:ind w:firstLine="1920" w:firstLineChars="800"/>
        <w:jc w:val="left"/>
        <w:rPr>
          <w:rFonts w:ascii="宋体"/>
          <w:sz w:val="24"/>
          <w:szCs w:val="24"/>
        </w:rPr>
      </w:pPr>
      <w:r>
        <w:rPr>
          <w:rFonts w:hint="eastAsia" w:ascii="宋体" w:hAnsi="宋体"/>
          <w:sz w:val="24"/>
          <w:szCs w:val="24"/>
        </w:rPr>
        <w:t>法定代表人（主要负责人）或其授权的代理人：</w:t>
      </w:r>
      <w:r>
        <w:rPr>
          <w:rFonts w:ascii="宋体" w:hAnsi="宋体"/>
          <w:sz w:val="24"/>
          <w:szCs w:val="24"/>
          <w:u w:val="single"/>
        </w:rPr>
        <w:t xml:space="preserve">          </w:t>
      </w:r>
      <w:r>
        <w:rPr>
          <w:rFonts w:hint="eastAsia" w:ascii="宋体" w:hAnsi="宋体"/>
          <w:sz w:val="24"/>
          <w:szCs w:val="24"/>
        </w:rPr>
        <w:t>（签字）</w:t>
      </w:r>
    </w:p>
    <w:p>
      <w:pPr>
        <w:spacing w:line="460" w:lineRule="exact"/>
        <w:ind w:firstLine="1920" w:firstLineChars="800"/>
        <w:jc w:val="left"/>
        <w:rPr>
          <w:rFonts w:ascii="宋体"/>
          <w:sz w:val="24"/>
          <w:szCs w:val="24"/>
          <w:u w:val="single"/>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sz w:val="24"/>
          <w:szCs w:val="24"/>
        </w:rPr>
        <w:t>电子邮箱：</w:t>
      </w:r>
      <w:r>
        <w:rPr>
          <w:rFonts w:ascii="宋体" w:hAnsi="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ascii="宋体" w:hAnsi="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400" w:lineRule="exact"/>
        <w:jc w:val="center"/>
        <w:rPr>
          <w:rFonts w:ascii="宋体"/>
          <w:b/>
          <w:sz w:val="32"/>
          <w:szCs w:val="32"/>
        </w:rPr>
      </w:pPr>
      <w:r>
        <w:rPr>
          <w:rFonts w:hint="eastAsia" w:ascii="宋体" w:hAnsi="宋体"/>
          <w:b/>
          <w:sz w:val="32"/>
          <w:szCs w:val="32"/>
        </w:rPr>
        <w:t>二、授权委托书</w:t>
      </w:r>
    </w:p>
    <w:p>
      <w:pPr>
        <w:spacing w:line="480" w:lineRule="exact"/>
        <w:jc w:val="center"/>
        <w:rPr>
          <w:rFonts w:ascii="宋体"/>
          <w:sz w:val="24"/>
          <w:szCs w:val="24"/>
        </w:rPr>
      </w:pPr>
      <w:r>
        <w:rPr>
          <w:rFonts w:hint="eastAsia" w:ascii="宋体" w:hAnsi="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sz w:val="24"/>
          <w:szCs w:val="24"/>
        </w:rPr>
        <w:t>本人</w:t>
      </w:r>
      <w:r>
        <w:rPr>
          <w:rFonts w:ascii="宋体" w:hAnsi="宋体"/>
          <w:sz w:val="24"/>
          <w:szCs w:val="24"/>
          <w:u w:val="single"/>
        </w:rPr>
        <w:t xml:space="preserve">          </w:t>
      </w:r>
      <w:r>
        <w:rPr>
          <w:rFonts w:hint="eastAsia" w:ascii="宋体" w:hAnsi="宋体"/>
          <w:sz w:val="24"/>
          <w:szCs w:val="24"/>
        </w:rPr>
        <w:t>（姓名）系</w:t>
      </w:r>
      <w:r>
        <w:rPr>
          <w:rFonts w:ascii="宋体" w:hAnsi="宋体"/>
          <w:sz w:val="24"/>
          <w:szCs w:val="24"/>
          <w:u w:val="single"/>
        </w:rPr>
        <w:t xml:space="preserve">                       </w:t>
      </w:r>
      <w:r>
        <w:rPr>
          <w:rFonts w:hint="eastAsia" w:ascii="宋体" w:hAnsi="宋体"/>
          <w:sz w:val="24"/>
          <w:szCs w:val="24"/>
        </w:rPr>
        <w:t>（供应商名称）的法定代表人（主要负责人），现委托</w:t>
      </w:r>
      <w:r>
        <w:rPr>
          <w:rFonts w:ascii="宋体" w:hAnsi="宋体"/>
          <w:sz w:val="24"/>
          <w:szCs w:val="24"/>
          <w:u w:val="single"/>
        </w:rPr>
        <w:t xml:space="preserve">         </w:t>
      </w:r>
      <w:r>
        <w:rPr>
          <w:rFonts w:hint="eastAsia" w:ascii="宋体" w:hAnsi="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sz w:val="24"/>
          <w:szCs w:val="24"/>
        </w:rPr>
        <w:t>委托期限：自本委托书签署之日起至</w:t>
      </w:r>
      <w:r>
        <w:rPr>
          <w:rFonts w:ascii="宋体" w:hAnsi="宋体"/>
          <w:sz w:val="24"/>
          <w:szCs w:val="24"/>
          <w:u w:val="single"/>
        </w:rPr>
        <w:t xml:space="preserve">                     </w:t>
      </w:r>
      <w:r>
        <w:rPr>
          <w:rFonts w:hint="eastAsia" w:ascii="宋体" w:hAnsi="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sz w:val="24"/>
          <w:szCs w:val="24"/>
        </w:rPr>
        <w:t>附：法定代表人（主要负责人）身份证复印件及委托代理人身份证复印件。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sz w:val="24"/>
          <w:szCs w:val="24"/>
        </w:rPr>
        <w:t>供应商：</w:t>
      </w:r>
      <w:r>
        <w:rPr>
          <w:rFonts w:ascii="宋体" w:hAnsi="宋体"/>
          <w:sz w:val="24"/>
          <w:szCs w:val="24"/>
          <w:u w:val="single"/>
        </w:rPr>
        <w:t xml:space="preserve">                              </w:t>
      </w:r>
      <w:r>
        <w:rPr>
          <w:rFonts w:hint="eastAsia" w:ascii="宋体" w:hAnsi="宋体"/>
          <w:sz w:val="24"/>
          <w:szCs w:val="24"/>
        </w:rPr>
        <w:t>（盖单位章）</w:t>
      </w:r>
    </w:p>
    <w:p>
      <w:pPr>
        <w:spacing w:line="480" w:lineRule="exact"/>
        <w:ind w:firstLine="3000" w:firstLineChars="1250"/>
        <w:jc w:val="left"/>
        <w:rPr>
          <w:rFonts w:ascii="宋体"/>
          <w:sz w:val="24"/>
          <w:szCs w:val="24"/>
        </w:rPr>
      </w:pPr>
      <w:r>
        <w:rPr>
          <w:rFonts w:hint="eastAsia" w:ascii="宋体" w:hAnsi="宋体"/>
          <w:sz w:val="24"/>
          <w:szCs w:val="24"/>
        </w:rPr>
        <w:t>法定代表人（主要负责人）：</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w:t>
      </w:r>
    </w:p>
    <w:p>
      <w:pPr>
        <w:spacing w:line="480" w:lineRule="exact"/>
        <w:ind w:firstLine="3000" w:firstLineChars="1250"/>
        <w:jc w:val="left"/>
        <w:rPr>
          <w:rFonts w:ascii="宋体"/>
          <w:sz w:val="24"/>
          <w:szCs w:val="24"/>
          <w:u w:val="single"/>
        </w:rPr>
      </w:pPr>
      <w:r>
        <w:rPr>
          <w:rFonts w:hint="eastAsia" w:ascii="宋体" w:hAnsi="宋体"/>
          <w:sz w:val="24"/>
          <w:szCs w:val="24"/>
        </w:rPr>
        <w:t>身份证号码：</w:t>
      </w:r>
      <w:r>
        <w:rPr>
          <w:rFonts w:ascii="宋体" w:hAnsi="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sz w:val="24"/>
          <w:szCs w:val="24"/>
        </w:rPr>
        <w:t>委托代理人：</w:t>
      </w:r>
      <w:r>
        <w:rPr>
          <w:rFonts w:ascii="宋体" w:hAnsi="宋体"/>
          <w:sz w:val="24"/>
          <w:szCs w:val="24"/>
          <w:u w:val="single"/>
        </w:rPr>
        <w:t xml:space="preserve">                              </w:t>
      </w:r>
      <w:r>
        <w:rPr>
          <w:rFonts w:hint="eastAsia" w:ascii="宋体" w:hAnsi="宋体"/>
          <w:sz w:val="24"/>
          <w:szCs w:val="24"/>
        </w:rPr>
        <w:t>（签字）</w:t>
      </w:r>
    </w:p>
    <w:p>
      <w:pPr>
        <w:spacing w:line="480" w:lineRule="exact"/>
        <w:ind w:firstLine="3000" w:firstLineChars="1250"/>
        <w:jc w:val="left"/>
        <w:rPr>
          <w:rFonts w:ascii="宋体"/>
          <w:sz w:val="24"/>
          <w:szCs w:val="24"/>
          <w:u w:val="single"/>
        </w:rPr>
      </w:pPr>
      <w:r>
        <w:rPr>
          <w:rFonts w:hint="eastAsia" w:ascii="宋体" w:hAnsi="宋体"/>
          <w:sz w:val="24"/>
          <w:szCs w:val="24"/>
        </w:rPr>
        <w:t>身份证号码：</w:t>
      </w:r>
      <w:r>
        <w:rPr>
          <w:rFonts w:ascii="宋体" w:hAnsi="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
    <w:p/>
    <w:p/>
    <w:p/>
    <w:p/>
    <w:p/>
    <w:p/>
    <w:p/>
    <w:p/>
    <w:p/>
    <w:p/>
    <w:p/>
    <w:p/>
    <w:p>
      <w:pPr>
        <w:jc w:val="center"/>
        <w:rPr>
          <w:rFonts w:ascii="宋体"/>
          <w:b/>
          <w:sz w:val="32"/>
          <w:szCs w:val="32"/>
        </w:rPr>
      </w:pPr>
      <w:r>
        <w:rPr>
          <w:rFonts w:hint="eastAsia" w:ascii="宋体" w:hAnsi="宋体"/>
          <w:b/>
          <w:sz w:val="32"/>
          <w:szCs w:val="32"/>
        </w:rPr>
        <w:t>三、法定代表人（主要负责人）身份证明</w:t>
      </w:r>
    </w:p>
    <w:p>
      <w:pPr>
        <w:spacing w:line="480" w:lineRule="exact"/>
        <w:ind w:left="765"/>
        <w:rPr>
          <w:rFonts w:ascii="宋体"/>
          <w:sz w:val="24"/>
          <w:szCs w:val="24"/>
        </w:rPr>
      </w:pPr>
    </w:p>
    <w:p>
      <w:pPr>
        <w:tabs>
          <w:tab w:val="left" w:pos="568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响应人名称：</w:t>
      </w:r>
      <w:r>
        <w:rPr>
          <w:rFonts w:ascii="宋体" w:hAnsi="宋体" w:cs="MingLiUfalt"/>
          <w:w w:val="200"/>
          <w:kern w:val="0"/>
          <w:sz w:val="24"/>
          <w:szCs w:val="24"/>
          <w:u w:val="single"/>
        </w:rPr>
        <w:t xml:space="preserve"> </w:t>
      </w:r>
      <w:r>
        <w:rPr>
          <w:rFonts w:asci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单位性质：</w:t>
      </w:r>
      <w:r>
        <w:rPr>
          <w:rFonts w:ascii="宋体" w:hAnsi="宋体" w:cs="MingLiUfalt"/>
          <w:w w:val="200"/>
          <w:kern w:val="0"/>
          <w:sz w:val="24"/>
          <w:szCs w:val="24"/>
          <w:u w:val="single"/>
        </w:rPr>
        <w:t xml:space="preserve"> </w:t>
      </w:r>
      <w:r>
        <w:rPr>
          <w:rFonts w:asci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地址：</w:t>
      </w:r>
      <w:r>
        <w:rPr>
          <w:rFonts w:ascii="宋体" w:hAnsi="宋体" w:cs="MingLiUfalt"/>
          <w:w w:val="200"/>
          <w:kern w:val="0"/>
          <w:sz w:val="24"/>
          <w:szCs w:val="24"/>
          <w:u w:val="single"/>
        </w:rPr>
        <w:t xml:space="preserve"> </w:t>
      </w:r>
      <w:r>
        <w:rPr>
          <w:rFonts w:ascii="宋体"/>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成立时间：</w:t>
      </w:r>
      <w:r>
        <w:rPr>
          <w:rFonts w:ascii="宋体" w:hAnsi="宋体" w:cs="MingLiUfalt"/>
          <w:w w:val="200"/>
          <w:kern w:val="0"/>
          <w:sz w:val="24"/>
          <w:szCs w:val="24"/>
          <w:u w:val="single"/>
        </w:rPr>
        <w:t xml:space="preserve"> </w:t>
      </w:r>
      <w:r>
        <w:rPr>
          <w:rFonts w:ascii="宋体"/>
          <w:kern w:val="0"/>
          <w:sz w:val="24"/>
          <w:szCs w:val="24"/>
          <w:u w:val="single"/>
        </w:rPr>
        <w:tab/>
      </w:r>
      <w:r>
        <w:rPr>
          <w:rFonts w:ascii="宋体" w:hAnsi="宋体"/>
          <w:kern w:val="0"/>
          <w:sz w:val="24"/>
          <w:szCs w:val="24"/>
        </w:rPr>
        <w:t xml:space="preserve"> </w:t>
      </w:r>
      <w:r>
        <w:rPr>
          <w:rFonts w:hint="eastAsia" w:ascii="宋体" w:hAnsi="宋体" w:cs="MingLiUfalt"/>
          <w:spacing w:val="-1"/>
          <w:kern w:val="0"/>
          <w:sz w:val="24"/>
          <w:szCs w:val="24"/>
        </w:rPr>
        <w:t>年</w:t>
      </w:r>
      <w:r>
        <w:rPr>
          <w:rFonts w:ascii="宋体" w:hAnsi="宋体" w:cs="MingLiUfalt"/>
          <w:w w:val="200"/>
          <w:kern w:val="0"/>
          <w:sz w:val="24"/>
          <w:szCs w:val="24"/>
          <w:u w:val="single"/>
        </w:rPr>
        <w:t xml:space="preserve"> </w:t>
      </w:r>
      <w:r>
        <w:rPr>
          <w:rFonts w:ascii="宋体"/>
          <w:kern w:val="0"/>
          <w:sz w:val="24"/>
          <w:szCs w:val="24"/>
          <w:u w:val="single"/>
        </w:rPr>
        <w:tab/>
      </w:r>
      <w:r>
        <w:rPr>
          <w:rFonts w:ascii="宋体" w:hAnsi="宋体"/>
          <w:kern w:val="0"/>
          <w:sz w:val="24"/>
          <w:szCs w:val="24"/>
          <w:u w:val="single"/>
        </w:rPr>
        <w:t xml:space="preserve"> </w:t>
      </w:r>
      <w:r>
        <w:rPr>
          <w:rFonts w:ascii="宋体" w:hAnsi="宋体"/>
          <w:kern w:val="0"/>
          <w:sz w:val="24"/>
          <w:szCs w:val="24"/>
        </w:rPr>
        <w:t xml:space="preserve"> </w:t>
      </w:r>
      <w:r>
        <w:rPr>
          <w:rFonts w:hint="eastAsia" w:ascii="宋体" w:hAnsi="宋体" w:cs="MingLiUfalt"/>
          <w:spacing w:val="-1"/>
          <w:kern w:val="0"/>
          <w:sz w:val="24"/>
          <w:szCs w:val="24"/>
        </w:rPr>
        <w:t>月</w:t>
      </w:r>
      <w:r>
        <w:rPr>
          <w:rFonts w:ascii="宋体" w:hAnsi="宋体" w:cs="MingLiUfalt"/>
          <w:w w:val="200"/>
          <w:kern w:val="0"/>
          <w:sz w:val="24"/>
          <w:szCs w:val="24"/>
          <w:u w:val="single"/>
        </w:rPr>
        <w:t xml:space="preserve"> </w:t>
      </w:r>
      <w:r>
        <w:rPr>
          <w:rFonts w:ascii="宋体" w:hAnsi="宋体"/>
          <w:kern w:val="0"/>
          <w:sz w:val="24"/>
          <w:szCs w:val="24"/>
          <w:u w:val="single"/>
        </w:rPr>
        <w:t xml:space="preserve">         </w:t>
      </w:r>
      <w:r>
        <w:rPr>
          <w:rFonts w:hint="eastAsia" w:ascii="宋体" w:hAnsi="宋体" w:cs="MingLiUfalt"/>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经营期限：</w:t>
      </w:r>
      <w:r>
        <w:rPr>
          <w:rFonts w:ascii="宋体" w:hAnsi="宋体" w:cs="MingLiUfalt"/>
          <w:w w:val="200"/>
          <w:kern w:val="0"/>
          <w:sz w:val="24"/>
          <w:szCs w:val="24"/>
          <w:u w:val="single"/>
        </w:rPr>
        <w:t xml:space="preserve"> </w:t>
      </w:r>
      <w:r>
        <w:rPr>
          <w:rFonts w:ascii="宋体"/>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姓名：</w:t>
      </w:r>
      <w:r>
        <w:rPr>
          <w:rFonts w:ascii="宋体" w:hAnsi="宋体" w:cs="MingLiUfalt"/>
          <w:w w:val="200"/>
          <w:kern w:val="0"/>
          <w:sz w:val="24"/>
          <w:szCs w:val="24"/>
          <w:u w:val="single"/>
        </w:rPr>
        <w:t xml:space="preserve"> </w:t>
      </w:r>
      <w:r>
        <w:rPr>
          <w:rFonts w:ascii="宋体"/>
          <w:kern w:val="0"/>
          <w:sz w:val="24"/>
          <w:szCs w:val="24"/>
          <w:u w:val="single"/>
        </w:rPr>
        <w:tab/>
      </w:r>
      <w:r>
        <w:rPr>
          <w:rFonts w:ascii="宋体" w:hAnsi="宋体"/>
          <w:kern w:val="0"/>
          <w:sz w:val="24"/>
          <w:szCs w:val="24"/>
        </w:rPr>
        <w:t xml:space="preserve"> </w:t>
      </w:r>
      <w:r>
        <w:rPr>
          <w:rFonts w:hint="eastAsia" w:ascii="宋体" w:hAnsi="宋体" w:cs="MingLiUfalt"/>
          <w:kern w:val="0"/>
          <w:sz w:val="24"/>
          <w:szCs w:val="24"/>
        </w:rPr>
        <w:t>性别</w:t>
      </w:r>
      <w:r>
        <w:rPr>
          <w:rFonts w:hint="eastAsia" w:ascii="宋体" w:hAnsi="宋体" w:cs="MingLiUfalt"/>
          <w:spacing w:val="-1"/>
          <w:kern w:val="0"/>
          <w:sz w:val="24"/>
          <w:szCs w:val="24"/>
        </w:rPr>
        <w:t>：</w:t>
      </w:r>
      <w:r>
        <w:rPr>
          <w:rFonts w:ascii="宋体" w:hAnsi="宋体" w:cs="MingLiUfalt"/>
          <w:w w:val="200"/>
          <w:kern w:val="0"/>
          <w:sz w:val="24"/>
          <w:szCs w:val="24"/>
          <w:u w:val="single"/>
        </w:rPr>
        <w:t xml:space="preserve"> </w:t>
      </w:r>
      <w:r>
        <w:rPr>
          <w:rFonts w:ascii="宋体"/>
          <w:kern w:val="0"/>
          <w:sz w:val="24"/>
          <w:szCs w:val="24"/>
          <w:u w:val="single"/>
        </w:rPr>
        <w:tab/>
      </w:r>
      <w:r>
        <w:rPr>
          <w:rFonts w:ascii="宋体" w:hAnsi="宋体"/>
          <w:kern w:val="0"/>
          <w:sz w:val="24"/>
          <w:szCs w:val="24"/>
        </w:rPr>
        <w:t xml:space="preserve"> </w:t>
      </w:r>
      <w:r>
        <w:rPr>
          <w:rFonts w:hint="eastAsia" w:ascii="宋体" w:hAnsi="宋体" w:cs="MingLiUfalt"/>
          <w:spacing w:val="-1"/>
          <w:kern w:val="0"/>
          <w:sz w:val="24"/>
          <w:szCs w:val="24"/>
        </w:rPr>
        <w:t>年</w:t>
      </w:r>
      <w:r>
        <w:rPr>
          <w:rFonts w:hint="eastAsia" w:ascii="宋体" w:hAnsi="宋体" w:cs="MingLiUfalt"/>
          <w:kern w:val="0"/>
          <w:sz w:val="24"/>
          <w:szCs w:val="24"/>
        </w:rPr>
        <w:t>龄：</w:t>
      </w:r>
      <w:r>
        <w:rPr>
          <w:rFonts w:ascii="宋体" w:hAnsi="宋体" w:cs="MingLiUfalt"/>
          <w:w w:val="200"/>
          <w:kern w:val="0"/>
          <w:sz w:val="24"/>
          <w:szCs w:val="24"/>
          <w:u w:val="single"/>
        </w:rPr>
        <w:t xml:space="preserve">   </w:t>
      </w:r>
      <w:r>
        <w:rPr>
          <w:rFonts w:hint="eastAsia" w:ascii="宋体" w:hAnsi="宋体" w:cs="MingLiUfalt"/>
          <w:kern w:val="0"/>
          <w:sz w:val="24"/>
          <w:szCs w:val="24"/>
        </w:rPr>
        <w:t>职务：</w:t>
      </w:r>
      <w:r>
        <w:rPr>
          <w:rFonts w:ascii="宋体" w:hAnsi="宋体" w:cs="MingLiUfalt"/>
          <w:w w:val="200"/>
          <w:kern w:val="0"/>
          <w:sz w:val="24"/>
          <w:szCs w:val="24"/>
          <w:u w:val="single"/>
        </w:rPr>
        <w:t xml:space="preserve">    </w:t>
      </w:r>
      <w:r>
        <w:rPr>
          <w:rFonts w:ascii="宋体"/>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系</w:t>
      </w:r>
      <w:r>
        <w:rPr>
          <w:rFonts w:ascii="宋体" w:hAnsi="宋体" w:cs="MingLiUfalt"/>
          <w:w w:val="200"/>
          <w:kern w:val="0"/>
          <w:sz w:val="24"/>
          <w:szCs w:val="24"/>
          <w:u w:val="single"/>
        </w:rPr>
        <w:t xml:space="preserve"> </w:t>
      </w:r>
      <w:r>
        <w:rPr>
          <w:rFonts w:ascii="宋体"/>
          <w:kern w:val="0"/>
          <w:sz w:val="24"/>
          <w:szCs w:val="24"/>
          <w:u w:val="single"/>
        </w:rPr>
        <w:tab/>
      </w:r>
      <w:r>
        <w:rPr>
          <w:rFonts w:ascii="宋体" w:hAnsi="宋体"/>
          <w:kern w:val="0"/>
          <w:sz w:val="24"/>
          <w:szCs w:val="24"/>
        </w:rPr>
        <w:t xml:space="preserve"> </w:t>
      </w:r>
      <w:r>
        <w:rPr>
          <w:rFonts w:hint="eastAsia" w:ascii="宋体" w:hAnsi="宋体" w:cs="MingLiUfalt"/>
          <w:kern w:val="0"/>
          <w:sz w:val="24"/>
          <w:szCs w:val="24"/>
        </w:rPr>
        <w:t>（响应人名称）的法定代表人</w:t>
      </w:r>
      <w:r>
        <w:rPr>
          <w:rFonts w:hint="eastAsia" w:ascii="宋体" w:hAnsi="宋体"/>
          <w:sz w:val="24"/>
          <w:szCs w:val="24"/>
        </w:rPr>
        <w:t>（主要负责人）</w:t>
      </w:r>
      <w:r>
        <w:rPr>
          <w:rFonts w:hint="eastAsia" w:ascii="宋体" w:hAnsi="宋体" w:cs="MingLiUfalt"/>
          <w:kern w:val="0"/>
          <w:sz w:val="24"/>
          <w:szCs w:val="24"/>
        </w:rPr>
        <w:t>。</w:t>
      </w:r>
    </w:p>
    <w:p>
      <w:pPr>
        <w:autoSpaceDE w:val="0"/>
        <w:autoSpaceDN w:val="0"/>
        <w:adjustRightInd w:val="0"/>
        <w:snapToGrid w:val="0"/>
        <w:spacing w:line="480" w:lineRule="exact"/>
        <w:jc w:val="left"/>
        <w:rPr>
          <w:rFonts w:ascii="宋体" w:cs="MingLiUfalt"/>
          <w:kern w:val="0"/>
          <w:sz w:val="24"/>
          <w:szCs w:val="24"/>
        </w:rPr>
      </w:pPr>
    </w:p>
    <w:p>
      <w:pPr>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特此证明。</w:t>
      </w:r>
    </w:p>
    <w:p>
      <w:pPr>
        <w:autoSpaceDE w:val="0"/>
        <w:autoSpaceDN w:val="0"/>
        <w:adjustRightInd w:val="0"/>
        <w:snapToGrid w:val="0"/>
        <w:spacing w:line="480" w:lineRule="exact"/>
        <w:jc w:val="left"/>
        <w:rPr>
          <w:rFonts w:ascii="宋体" w:cs="MingLiUfalt"/>
          <w:kern w:val="0"/>
          <w:sz w:val="24"/>
          <w:szCs w:val="24"/>
        </w:rPr>
      </w:pPr>
    </w:p>
    <w:p>
      <w:pPr>
        <w:autoSpaceDE w:val="0"/>
        <w:autoSpaceDN w:val="0"/>
        <w:adjustRightInd w:val="0"/>
        <w:snapToGrid w:val="0"/>
        <w:spacing w:line="480" w:lineRule="exact"/>
        <w:jc w:val="left"/>
        <w:rPr>
          <w:rFonts w:ascii="宋体" w:cs="MingLiUfalt"/>
          <w:kern w:val="0"/>
          <w:sz w:val="24"/>
          <w:szCs w:val="24"/>
        </w:rPr>
      </w:pPr>
    </w:p>
    <w:p>
      <w:pPr>
        <w:tabs>
          <w:tab w:val="left" w:pos="5460"/>
        </w:tabs>
        <w:autoSpaceDE w:val="0"/>
        <w:autoSpaceDN w:val="0"/>
        <w:adjustRightInd w:val="0"/>
        <w:snapToGrid w:val="0"/>
        <w:spacing w:line="480" w:lineRule="exact"/>
        <w:ind w:firstLine="2100"/>
        <w:jc w:val="left"/>
        <w:rPr>
          <w:rFonts w:ascii="宋体" w:cs="MingLiUfalt"/>
          <w:kern w:val="0"/>
          <w:sz w:val="24"/>
          <w:szCs w:val="24"/>
        </w:rPr>
      </w:pPr>
      <w:r>
        <w:rPr>
          <w:rFonts w:hint="eastAsia" w:ascii="宋体" w:hAnsi="宋体" w:cs="MingLiUfalt"/>
          <w:kern w:val="0"/>
          <w:sz w:val="24"/>
          <w:szCs w:val="24"/>
        </w:rPr>
        <w:t>响应人：</w:t>
      </w:r>
      <w:r>
        <w:rPr>
          <w:rFonts w:ascii="宋体" w:hAnsi="宋体" w:cs="MingLiUfalt"/>
          <w:w w:val="200"/>
          <w:kern w:val="0"/>
          <w:sz w:val="24"/>
          <w:szCs w:val="24"/>
          <w:u w:val="single"/>
        </w:rPr>
        <w:t xml:space="preserve"> </w:t>
      </w:r>
      <w:r>
        <w:rPr>
          <w:rFonts w:ascii="宋体"/>
          <w:kern w:val="0"/>
          <w:sz w:val="24"/>
          <w:szCs w:val="24"/>
          <w:u w:val="single"/>
        </w:rPr>
        <w:tab/>
      </w:r>
      <w:r>
        <w:rPr>
          <w:rFonts w:hint="eastAsia" w:ascii="宋体" w:hAnsi="宋体" w:cs="MingLiUfalt"/>
          <w:spacing w:val="-1"/>
          <w:kern w:val="0"/>
          <w:sz w:val="24"/>
          <w:szCs w:val="24"/>
        </w:rPr>
        <w:t>（</w:t>
      </w:r>
      <w:r>
        <w:rPr>
          <w:rFonts w:hint="eastAsia" w:ascii="宋体" w:hAnsi="宋体" w:cs="MingLiUfalt"/>
          <w:kern w:val="0"/>
          <w:sz w:val="24"/>
          <w:szCs w:val="24"/>
        </w:rPr>
        <w:t>盖单位公章）</w:t>
      </w:r>
    </w:p>
    <w:p>
      <w:pPr>
        <w:autoSpaceDE w:val="0"/>
        <w:autoSpaceDN w:val="0"/>
        <w:adjustRightInd w:val="0"/>
        <w:snapToGrid w:val="0"/>
        <w:spacing w:line="480" w:lineRule="exact"/>
        <w:jc w:val="left"/>
        <w:rPr>
          <w:rFonts w:ascii="宋体" w:cs="MingLiUfalt"/>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s="MingLiUfalt"/>
          <w:kern w:val="0"/>
          <w:sz w:val="24"/>
          <w:szCs w:val="24"/>
        </w:rPr>
      </w:pPr>
      <w:r>
        <w:rPr>
          <w:rFonts w:ascii="宋体" w:hAnsi="宋体" w:cs="MingLiUfalt"/>
          <w:w w:val="200"/>
          <w:kern w:val="0"/>
          <w:sz w:val="24"/>
          <w:szCs w:val="24"/>
          <w:u w:val="single"/>
        </w:rPr>
        <w:t xml:space="preserve"> </w:t>
      </w:r>
      <w:r>
        <w:rPr>
          <w:rFonts w:ascii="宋体"/>
          <w:kern w:val="0"/>
          <w:sz w:val="24"/>
          <w:szCs w:val="24"/>
          <w:u w:val="single"/>
        </w:rPr>
        <w:tab/>
      </w:r>
      <w:r>
        <w:rPr>
          <w:rFonts w:hint="eastAsia" w:ascii="宋体" w:hAnsi="宋体" w:cs="MingLiUfalt"/>
          <w:spacing w:val="-1"/>
          <w:kern w:val="0"/>
          <w:sz w:val="24"/>
          <w:szCs w:val="24"/>
        </w:rPr>
        <w:t>年</w:t>
      </w:r>
      <w:r>
        <w:rPr>
          <w:rFonts w:ascii="宋体" w:hAnsi="宋体" w:cs="MingLiUfalt"/>
          <w:w w:val="200"/>
          <w:kern w:val="0"/>
          <w:sz w:val="24"/>
          <w:szCs w:val="24"/>
          <w:u w:val="single"/>
        </w:rPr>
        <w:t xml:space="preserve">   </w:t>
      </w:r>
      <w:r>
        <w:rPr>
          <w:rFonts w:hint="eastAsia" w:ascii="宋体" w:hAnsi="宋体" w:cs="MingLiUfalt"/>
          <w:kern w:val="0"/>
          <w:sz w:val="24"/>
          <w:szCs w:val="24"/>
        </w:rPr>
        <w:t>月</w:t>
      </w:r>
      <w:r>
        <w:rPr>
          <w:rFonts w:ascii="宋体" w:hAnsi="宋体" w:cs="MingLiUfalt"/>
          <w:w w:val="200"/>
          <w:kern w:val="0"/>
          <w:sz w:val="24"/>
          <w:szCs w:val="24"/>
          <w:u w:val="single"/>
        </w:rPr>
        <w:t xml:space="preserve">   </w:t>
      </w:r>
      <w:r>
        <w:rPr>
          <w:rFonts w:hint="eastAsia" w:ascii="宋体" w:hAnsi="宋体" w:cs="MingLiUfalt"/>
          <w:kern w:val="0"/>
          <w:sz w:val="24"/>
          <w:szCs w:val="24"/>
        </w:rPr>
        <w:t>日</w:t>
      </w:r>
    </w:p>
    <w:p>
      <w:pPr>
        <w:autoSpaceDE w:val="0"/>
        <w:autoSpaceDN w:val="0"/>
        <w:adjustRightInd w:val="0"/>
        <w:snapToGrid w:val="0"/>
        <w:spacing w:line="480" w:lineRule="exact"/>
        <w:jc w:val="left"/>
        <w:rPr>
          <w:rFonts w:ascii="宋体"/>
          <w:kern w:val="0"/>
          <w:sz w:val="24"/>
          <w:szCs w:val="24"/>
        </w:rPr>
      </w:pPr>
    </w:p>
    <w:tbl>
      <w:tblPr>
        <w:tblStyle w:val="15"/>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rPr>
            </w:pPr>
          </w:p>
          <w:p>
            <w:pPr>
              <w:spacing w:line="520" w:lineRule="exact"/>
              <w:ind w:firstLine="211" w:firstLineChars="100"/>
              <w:rPr>
                <w:rFonts w:ascii="宋体"/>
                <w:b/>
              </w:rPr>
            </w:pPr>
            <w:r>
              <w:rPr>
                <w:rFonts w:hint="eastAsia" w:ascii="宋体" w:hAnsi="宋体"/>
                <w:b/>
              </w:rPr>
              <w:t>法定代表人（主要负责人）身份证正面复印件</w:t>
            </w:r>
          </w:p>
          <w:p>
            <w:pPr>
              <w:spacing w:line="520" w:lineRule="exact"/>
              <w:rPr>
                <w:rFonts w:ascii="宋体"/>
                <w:b/>
              </w:rPr>
            </w:pPr>
          </w:p>
        </w:tc>
      </w:tr>
    </w:tbl>
    <w:p>
      <w:pPr>
        <w:rPr>
          <w:rFonts w:ascii="宋体"/>
          <w:vanish/>
        </w:rPr>
      </w:pPr>
    </w:p>
    <w:tbl>
      <w:tblPr>
        <w:tblStyle w:val="15"/>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rPr>
            </w:pPr>
          </w:p>
          <w:p>
            <w:pPr>
              <w:spacing w:line="520" w:lineRule="exact"/>
              <w:ind w:firstLine="211" w:firstLineChars="100"/>
              <w:rPr>
                <w:rFonts w:ascii="宋体"/>
                <w:b/>
              </w:rPr>
            </w:pPr>
            <w:r>
              <w:rPr>
                <w:rFonts w:hint="eastAsia" w:ascii="宋体" w:hAnsi="宋体"/>
                <w:b/>
              </w:rPr>
              <w:t>法定代表人（主要负责人）身份证背面复印件</w:t>
            </w:r>
          </w:p>
          <w:p>
            <w:pPr>
              <w:spacing w:line="520" w:lineRule="exact"/>
              <w:rPr>
                <w:rFonts w:asci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cs="MingLiUfalt"/>
          <w:b/>
          <w:kern w:val="0"/>
        </w:rPr>
      </w:pPr>
    </w:p>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sz w:val="32"/>
          <w:szCs w:val="32"/>
        </w:rPr>
      </w:pPr>
      <w:r>
        <w:rPr>
          <w:rFonts w:hint="eastAsia" w:ascii="宋体" w:hAnsi="宋体"/>
          <w:b/>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sz w:val="24"/>
          <w:szCs w:val="24"/>
          <w:u w:val="single"/>
        </w:rPr>
        <w:t xml:space="preserve">                          </w:t>
      </w:r>
      <w:r>
        <w:rPr>
          <w:rFonts w:hint="eastAsia" w:ascii="宋体" w:hAnsi="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（项目名称）比选文件的全部内容，我方承诺在</w:t>
      </w:r>
      <w:r>
        <w:rPr>
          <w:rFonts w:hint="eastAsia" w:ascii="宋体" w:hAnsi="宋体" w:cs="宋体"/>
          <w:sz w:val="24"/>
          <w:szCs w:val="24"/>
        </w:rPr>
        <w:t>参加采购活动前三年内（指</w:t>
      </w:r>
      <w:r>
        <w:rPr>
          <w:rFonts w:ascii="宋体" w:hAnsi="宋体" w:cs="宋体"/>
          <w:sz w:val="24"/>
          <w:szCs w:val="24"/>
        </w:rPr>
        <w:t>20</w:t>
      </w:r>
      <w:r>
        <w:rPr>
          <w:rFonts w:hint="eastAsia" w:ascii="宋体" w:hAnsi="宋体" w:cs="宋体"/>
          <w:sz w:val="24"/>
          <w:szCs w:val="24"/>
        </w:rPr>
        <w:t>20年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w:t>
      </w:r>
      <w:r>
        <w:rPr>
          <w:rFonts w:hint="eastAsia" w:ascii="宋体" w:hAnsi="宋体"/>
          <w:sz w:val="24"/>
          <w:szCs w:val="24"/>
        </w:rPr>
        <w:t>列入失信被执行人、重大税收违法案件当事人名单、无政府采购严重违法失信行为记录，且在人员、设备、资金、技术等方面具有相应的能力。</w:t>
      </w:r>
      <w:r>
        <w:rPr>
          <w:rFonts w:hint="eastAsia" w:ascii="宋体" w:hAnsi="宋体" w:cs="宋体"/>
          <w:sz w:val="24"/>
          <w:szCs w:val="24"/>
        </w:rPr>
        <w:t>若承诺与实事不符合，愿意承担相应责任。</w:t>
      </w:r>
    </w:p>
    <w:p>
      <w:pPr>
        <w:pStyle w:val="8"/>
        <w:spacing w:line="420" w:lineRule="exact"/>
      </w:pPr>
    </w:p>
    <w:p>
      <w:pPr>
        <w:pStyle w:val="8"/>
        <w:spacing w:line="420" w:lineRule="exact"/>
      </w:pPr>
    </w:p>
    <w:p>
      <w:pPr>
        <w:pStyle w:val="8"/>
        <w:spacing w:line="420" w:lineRule="exact"/>
      </w:pPr>
    </w:p>
    <w:p>
      <w:pPr>
        <w:pStyle w:val="8"/>
        <w:spacing w:line="420" w:lineRule="exact"/>
      </w:pPr>
    </w:p>
    <w:p>
      <w:pPr>
        <w:tabs>
          <w:tab w:val="left" w:pos="5460"/>
        </w:tabs>
        <w:autoSpaceDE w:val="0"/>
        <w:autoSpaceDN w:val="0"/>
        <w:adjustRightInd w:val="0"/>
        <w:snapToGrid w:val="0"/>
        <w:spacing w:line="480" w:lineRule="exact"/>
        <w:ind w:firstLine="2100"/>
        <w:jc w:val="right"/>
        <w:rPr>
          <w:rFonts w:ascii="宋体" w:cs="MingLiUfalt"/>
          <w:kern w:val="0"/>
          <w:sz w:val="24"/>
          <w:szCs w:val="24"/>
        </w:rPr>
      </w:pPr>
      <w:r>
        <w:rPr>
          <w:rFonts w:hint="eastAsia" w:ascii="宋体" w:hAnsi="宋体" w:cs="MingLiUfalt"/>
          <w:kern w:val="0"/>
          <w:sz w:val="24"/>
          <w:szCs w:val="24"/>
        </w:rPr>
        <w:t>响应人：</w:t>
      </w:r>
      <w:r>
        <w:rPr>
          <w:rFonts w:ascii="宋体" w:hAnsi="宋体" w:cs="MingLiUfalt"/>
          <w:w w:val="200"/>
          <w:kern w:val="0"/>
          <w:sz w:val="24"/>
          <w:szCs w:val="24"/>
          <w:u w:val="single"/>
        </w:rPr>
        <w:t xml:space="preserve"> </w:t>
      </w:r>
      <w:r>
        <w:rPr>
          <w:rFonts w:ascii="宋体"/>
          <w:kern w:val="0"/>
          <w:sz w:val="24"/>
          <w:szCs w:val="24"/>
          <w:u w:val="single"/>
        </w:rPr>
        <w:tab/>
      </w:r>
      <w:r>
        <w:rPr>
          <w:rFonts w:hint="eastAsia" w:ascii="宋体" w:hAnsi="宋体" w:cs="MingLiUfalt"/>
          <w:spacing w:val="-1"/>
          <w:kern w:val="0"/>
          <w:sz w:val="24"/>
          <w:szCs w:val="24"/>
        </w:rPr>
        <w:t>（</w:t>
      </w:r>
      <w:r>
        <w:rPr>
          <w:rFonts w:hint="eastAsia" w:ascii="宋体" w:hAnsi="宋体" w:cs="MingLiUfalt"/>
          <w:kern w:val="0"/>
          <w:sz w:val="24"/>
          <w:szCs w:val="24"/>
        </w:rPr>
        <w:t>盖单位公章）</w:t>
      </w:r>
    </w:p>
    <w:p>
      <w:pPr>
        <w:autoSpaceDE w:val="0"/>
        <w:autoSpaceDN w:val="0"/>
        <w:adjustRightInd w:val="0"/>
        <w:snapToGrid w:val="0"/>
        <w:spacing w:line="480" w:lineRule="exact"/>
        <w:jc w:val="left"/>
        <w:rPr>
          <w:rFonts w:ascii="宋体" w:cs="MingLiUfalt"/>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kern w:val="0"/>
          <w:sz w:val="24"/>
          <w:szCs w:val="24"/>
        </w:rPr>
      </w:pPr>
      <w:r>
        <w:rPr>
          <w:rFonts w:ascii="宋体" w:hAnsi="宋体" w:cs="MingLiUfalt"/>
          <w:w w:val="200"/>
          <w:kern w:val="0"/>
          <w:sz w:val="24"/>
          <w:szCs w:val="24"/>
          <w:u w:val="single"/>
        </w:rPr>
        <w:t xml:space="preserve"> </w:t>
      </w:r>
      <w:r>
        <w:rPr>
          <w:rFonts w:ascii="宋体"/>
          <w:kern w:val="0"/>
          <w:sz w:val="24"/>
          <w:szCs w:val="24"/>
          <w:u w:val="single"/>
        </w:rPr>
        <w:tab/>
      </w:r>
      <w:r>
        <w:rPr>
          <w:rFonts w:hint="eastAsia" w:ascii="宋体" w:hAnsi="宋体" w:cs="MingLiUfalt"/>
          <w:spacing w:val="-1"/>
          <w:kern w:val="0"/>
          <w:sz w:val="24"/>
          <w:szCs w:val="24"/>
        </w:rPr>
        <w:t>年</w:t>
      </w:r>
      <w:r>
        <w:rPr>
          <w:rFonts w:ascii="宋体" w:hAnsi="宋体" w:cs="MingLiUfalt"/>
          <w:w w:val="200"/>
          <w:kern w:val="0"/>
          <w:sz w:val="24"/>
          <w:szCs w:val="24"/>
          <w:u w:val="single"/>
        </w:rPr>
        <w:t xml:space="preserve">   </w:t>
      </w:r>
      <w:r>
        <w:rPr>
          <w:rFonts w:hint="eastAsia" w:ascii="宋体" w:hAnsi="宋体" w:cs="MingLiUfalt"/>
          <w:kern w:val="0"/>
          <w:sz w:val="24"/>
          <w:szCs w:val="24"/>
        </w:rPr>
        <w:t>月</w:t>
      </w:r>
      <w:r>
        <w:rPr>
          <w:rFonts w:ascii="宋体" w:hAnsi="宋体" w:cs="MingLiUfalt"/>
          <w:w w:val="200"/>
          <w:kern w:val="0"/>
          <w:sz w:val="24"/>
          <w:szCs w:val="24"/>
          <w:u w:val="single"/>
        </w:rPr>
        <w:t xml:space="preserve">   </w:t>
      </w:r>
      <w:r>
        <w:rPr>
          <w:rFonts w:hint="eastAsia" w:ascii="宋体" w:hAnsi="宋体" w:cs="MingLiUfalt"/>
          <w:kern w:val="0"/>
          <w:sz w:val="24"/>
          <w:szCs w:val="24"/>
        </w:rPr>
        <w:t>日</w:t>
      </w:r>
    </w:p>
    <w:p>
      <w:pPr>
        <w:pStyle w:val="8"/>
      </w:pPr>
    </w:p>
    <w:p>
      <w:pPr>
        <w:pStyle w:val="8"/>
      </w:pPr>
    </w:p>
    <w:p>
      <w:pPr>
        <w:spacing w:line="276" w:lineRule="auto"/>
        <w:rPr>
          <w:rFonts w:ascii="宋体" w:cs="宋体"/>
          <w:b/>
          <w:bCs/>
          <w:sz w:val="28"/>
          <w:szCs w:val="28"/>
        </w:rPr>
      </w:pPr>
    </w:p>
    <w:p>
      <w:pPr>
        <w:pStyle w:val="8"/>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276" w:lineRule="auto"/>
        <w:rPr>
          <w:rFonts w:ascii="宋体"/>
          <w:b/>
          <w:bCs/>
          <w:sz w:val="28"/>
          <w:szCs w:val="28"/>
        </w:rPr>
      </w:pPr>
      <w:r>
        <w:rPr>
          <w:rFonts w:hint="eastAsia" w:ascii="宋体"/>
          <w:b/>
          <w:bCs/>
          <w:sz w:val="28"/>
          <w:szCs w:val="28"/>
        </w:rPr>
        <w:t>五、资质材料。</w:t>
      </w:r>
    </w:p>
    <w:p>
      <w:pPr>
        <w:spacing w:line="276" w:lineRule="auto"/>
        <w:rPr>
          <w:rFonts w:ascii="宋体"/>
          <w:b/>
          <w:bCs/>
          <w:sz w:val="28"/>
          <w:szCs w:val="28"/>
        </w:rPr>
      </w:pPr>
      <w:r>
        <w:rPr>
          <w:rFonts w:hint="eastAsia" w:ascii="宋体"/>
          <w:b/>
          <w:bCs/>
          <w:sz w:val="28"/>
          <w:szCs w:val="28"/>
        </w:rPr>
        <w:t>六、商务部分；</w:t>
      </w:r>
    </w:p>
    <w:p>
      <w:pPr>
        <w:spacing w:line="276" w:lineRule="auto"/>
        <w:rPr>
          <w:rFonts w:ascii="宋体"/>
          <w:b/>
          <w:bCs/>
          <w:sz w:val="28"/>
          <w:szCs w:val="28"/>
        </w:rPr>
      </w:pPr>
      <w:r>
        <w:rPr>
          <w:rFonts w:hint="eastAsia" w:ascii="宋体"/>
          <w:b/>
          <w:bCs/>
          <w:sz w:val="28"/>
          <w:szCs w:val="28"/>
        </w:rPr>
        <w:t>七、技术部分；</w:t>
      </w:r>
    </w:p>
    <w:p>
      <w:pPr>
        <w:spacing w:line="276" w:lineRule="auto"/>
        <w:rPr>
          <w:rFonts w:ascii="宋体"/>
          <w:b/>
          <w:bCs/>
          <w:sz w:val="28"/>
          <w:szCs w:val="28"/>
        </w:rPr>
      </w:pPr>
      <w:r>
        <w:rPr>
          <w:rFonts w:hint="eastAsia" w:ascii="宋体"/>
          <w:b/>
          <w:bCs/>
          <w:sz w:val="28"/>
          <w:szCs w:val="28"/>
        </w:rPr>
        <w:t>八、其它须说明材料。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falt">
    <w:altName w:val="MingLiU"/>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16</w:t>
    </w:r>
    <w:r>
      <w:rPr>
        <w:lang w:val="zh-CN"/>
      </w:rPr>
      <w:fldChar w:fldCharType="end"/>
    </w:r>
    <w:r>
      <w:rPr>
        <w:rFonts w:hint="eastAsia" w:cs="宋体"/>
      </w:rPr>
      <w:t>页，共</w:t>
    </w:r>
    <w:r>
      <w:rPr>
        <w:rFonts w:hint="eastAsia"/>
        <w:lang w:val="en-US" w:eastAsia="zh-CN"/>
      </w:rPr>
      <w:t>18</w:t>
    </w:r>
    <w:r>
      <w:rPr>
        <w:rFonts w:hint="eastAsia" w:cs="宋体"/>
      </w:rPr>
      <w:t>页</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18</w:t>
    </w:r>
    <w:r>
      <w:rPr>
        <w:lang w:val="zh-CN"/>
      </w:rPr>
      <w:fldChar w:fldCharType="end"/>
    </w:r>
    <w:r>
      <w:rPr>
        <w:rFonts w:hint="eastAsia" w:cs="宋体"/>
      </w:rPr>
      <w:t>页，共</w:t>
    </w:r>
    <w:r>
      <w:rPr>
        <w:rFonts w:hint="eastAsia"/>
      </w:rPr>
      <w:t>18</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OGE1MzQ3ZGZhODFhNGY0YzQzZDVmMWMxNjBkNGIifQ=="/>
  </w:docVars>
  <w:rsids>
    <w:rsidRoot w:val="00B2579D"/>
    <w:rsid w:val="00002AA6"/>
    <w:rsid w:val="0001193F"/>
    <w:rsid w:val="000133D0"/>
    <w:rsid w:val="00016073"/>
    <w:rsid w:val="00016223"/>
    <w:rsid w:val="00031FE1"/>
    <w:rsid w:val="00032814"/>
    <w:rsid w:val="00037949"/>
    <w:rsid w:val="00041344"/>
    <w:rsid w:val="000461A9"/>
    <w:rsid w:val="00055197"/>
    <w:rsid w:val="000601DE"/>
    <w:rsid w:val="00062998"/>
    <w:rsid w:val="000766DE"/>
    <w:rsid w:val="0008066D"/>
    <w:rsid w:val="000825D7"/>
    <w:rsid w:val="00082F53"/>
    <w:rsid w:val="000835B3"/>
    <w:rsid w:val="0008411F"/>
    <w:rsid w:val="00084B4F"/>
    <w:rsid w:val="00084F72"/>
    <w:rsid w:val="000856BE"/>
    <w:rsid w:val="00085F77"/>
    <w:rsid w:val="000876E3"/>
    <w:rsid w:val="00094F3D"/>
    <w:rsid w:val="000A1433"/>
    <w:rsid w:val="000A42DA"/>
    <w:rsid w:val="000C723B"/>
    <w:rsid w:val="000D35D5"/>
    <w:rsid w:val="000D5767"/>
    <w:rsid w:val="000E16A1"/>
    <w:rsid w:val="000E1F77"/>
    <w:rsid w:val="000E202C"/>
    <w:rsid w:val="000E255C"/>
    <w:rsid w:val="000E2ECD"/>
    <w:rsid w:val="000E55E4"/>
    <w:rsid w:val="000E6A54"/>
    <w:rsid w:val="000F264B"/>
    <w:rsid w:val="000F39AC"/>
    <w:rsid w:val="000F6CEE"/>
    <w:rsid w:val="000F7C06"/>
    <w:rsid w:val="0010001E"/>
    <w:rsid w:val="0010117B"/>
    <w:rsid w:val="0010359B"/>
    <w:rsid w:val="0011030A"/>
    <w:rsid w:val="00111A14"/>
    <w:rsid w:val="00122000"/>
    <w:rsid w:val="00136CDC"/>
    <w:rsid w:val="001373AA"/>
    <w:rsid w:val="001406ED"/>
    <w:rsid w:val="001463A0"/>
    <w:rsid w:val="00155047"/>
    <w:rsid w:val="00161E43"/>
    <w:rsid w:val="0016580F"/>
    <w:rsid w:val="00173B14"/>
    <w:rsid w:val="001752BD"/>
    <w:rsid w:val="00180EBE"/>
    <w:rsid w:val="00194389"/>
    <w:rsid w:val="001A3A3F"/>
    <w:rsid w:val="001A47CE"/>
    <w:rsid w:val="001B74BF"/>
    <w:rsid w:val="001C20E9"/>
    <w:rsid w:val="001C346C"/>
    <w:rsid w:val="001C3A75"/>
    <w:rsid w:val="001C6F03"/>
    <w:rsid w:val="001C6F32"/>
    <w:rsid w:val="001D2FE8"/>
    <w:rsid w:val="001F44F1"/>
    <w:rsid w:val="001F4C5F"/>
    <w:rsid w:val="001F4FEE"/>
    <w:rsid w:val="00202EB2"/>
    <w:rsid w:val="00203815"/>
    <w:rsid w:val="0020584A"/>
    <w:rsid w:val="00214E8B"/>
    <w:rsid w:val="00215F17"/>
    <w:rsid w:val="00222872"/>
    <w:rsid w:val="0023085E"/>
    <w:rsid w:val="00232486"/>
    <w:rsid w:val="00235A32"/>
    <w:rsid w:val="0024404E"/>
    <w:rsid w:val="00244BBF"/>
    <w:rsid w:val="00246568"/>
    <w:rsid w:val="00261FCE"/>
    <w:rsid w:val="00277406"/>
    <w:rsid w:val="00287D35"/>
    <w:rsid w:val="002902D3"/>
    <w:rsid w:val="0029038F"/>
    <w:rsid w:val="00295BE9"/>
    <w:rsid w:val="0029763F"/>
    <w:rsid w:val="002A6B15"/>
    <w:rsid w:val="002B0C62"/>
    <w:rsid w:val="002B4DA6"/>
    <w:rsid w:val="002C4305"/>
    <w:rsid w:val="002C4EEC"/>
    <w:rsid w:val="002C554A"/>
    <w:rsid w:val="002C628A"/>
    <w:rsid w:val="002D1F59"/>
    <w:rsid w:val="002E6B48"/>
    <w:rsid w:val="002F3377"/>
    <w:rsid w:val="002F57F2"/>
    <w:rsid w:val="002F7B86"/>
    <w:rsid w:val="00300291"/>
    <w:rsid w:val="00304548"/>
    <w:rsid w:val="00306D9B"/>
    <w:rsid w:val="00311C22"/>
    <w:rsid w:val="00313F53"/>
    <w:rsid w:val="00321F49"/>
    <w:rsid w:val="00325BD8"/>
    <w:rsid w:val="0033168D"/>
    <w:rsid w:val="00333907"/>
    <w:rsid w:val="00336919"/>
    <w:rsid w:val="00337333"/>
    <w:rsid w:val="00343BE3"/>
    <w:rsid w:val="00350329"/>
    <w:rsid w:val="003562AA"/>
    <w:rsid w:val="003600C5"/>
    <w:rsid w:val="00360624"/>
    <w:rsid w:val="00360B51"/>
    <w:rsid w:val="003643AD"/>
    <w:rsid w:val="00364FFF"/>
    <w:rsid w:val="00365C51"/>
    <w:rsid w:val="00366B58"/>
    <w:rsid w:val="003704B1"/>
    <w:rsid w:val="003735B0"/>
    <w:rsid w:val="00375D16"/>
    <w:rsid w:val="00381882"/>
    <w:rsid w:val="00381925"/>
    <w:rsid w:val="0038677C"/>
    <w:rsid w:val="00390CAE"/>
    <w:rsid w:val="003914AA"/>
    <w:rsid w:val="003947BB"/>
    <w:rsid w:val="003968BB"/>
    <w:rsid w:val="003A1286"/>
    <w:rsid w:val="003A6260"/>
    <w:rsid w:val="003B184B"/>
    <w:rsid w:val="003B311F"/>
    <w:rsid w:val="003C0C43"/>
    <w:rsid w:val="003C1FA7"/>
    <w:rsid w:val="003C3EF0"/>
    <w:rsid w:val="003C6909"/>
    <w:rsid w:val="003D4506"/>
    <w:rsid w:val="003D50DA"/>
    <w:rsid w:val="003D6303"/>
    <w:rsid w:val="003E00CB"/>
    <w:rsid w:val="003E47AB"/>
    <w:rsid w:val="00400B14"/>
    <w:rsid w:val="0040772D"/>
    <w:rsid w:val="00410F86"/>
    <w:rsid w:val="004110D2"/>
    <w:rsid w:val="00411621"/>
    <w:rsid w:val="00411741"/>
    <w:rsid w:val="00415872"/>
    <w:rsid w:val="00421989"/>
    <w:rsid w:val="00424174"/>
    <w:rsid w:val="004245B1"/>
    <w:rsid w:val="004302C1"/>
    <w:rsid w:val="00431AF2"/>
    <w:rsid w:val="00432D91"/>
    <w:rsid w:val="004354E9"/>
    <w:rsid w:val="004369EC"/>
    <w:rsid w:val="00442C03"/>
    <w:rsid w:val="00442F38"/>
    <w:rsid w:val="004524D4"/>
    <w:rsid w:val="00452807"/>
    <w:rsid w:val="00452B93"/>
    <w:rsid w:val="004603D6"/>
    <w:rsid w:val="0047350E"/>
    <w:rsid w:val="00476E89"/>
    <w:rsid w:val="0048427E"/>
    <w:rsid w:val="00486C3A"/>
    <w:rsid w:val="0049581D"/>
    <w:rsid w:val="004A38FE"/>
    <w:rsid w:val="004B6DA3"/>
    <w:rsid w:val="004B6FF1"/>
    <w:rsid w:val="004C179E"/>
    <w:rsid w:val="004C3C97"/>
    <w:rsid w:val="004C771E"/>
    <w:rsid w:val="004E4ECD"/>
    <w:rsid w:val="004F2DB0"/>
    <w:rsid w:val="004F64CA"/>
    <w:rsid w:val="004F7251"/>
    <w:rsid w:val="004F7B00"/>
    <w:rsid w:val="005002B4"/>
    <w:rsid w:val="005115BF"/>
    <w:rsid w:val="00511E18"/>
    <w:rsid w:val="005203FE"/>
    <w:rsid w:val="005311DE"/>
    <w:rsid w:val="00534A9C"/>
    <w:rsid w:val="00541069"/>
    <w:rsid w:val="005456D6"/>
    <w:rsid w:val="0055127D"/>
    <w:rsid w:val="00551EA5"/>
    <w:rsid w:val="0055230B"/>
    <w:rsid w:val="00557762"/>
    <w:rsid w:val="005645DF"/>
    <w:rsid w:val="0056500D"/>
    <w:rsid w:val="00567FCF"/>
    <w:rsid w:val="005722F8"/>
    <w:rsid w:val="0058698D"/>
    <w:rsid w:val="00591C89"/>
    <w:rsid w:val="00594020"/>
    <w:rsid w:val="005A1A53"/>
    <w:rsid w:val="005A3170"/>
    <w:rsid w:val="005A600A"/>
    <w:rsid w:val="005A6F21"/>
    <w:rsid w:val="005B2B7B"/>
    <w:rsid w:val="005B3CA1"/>
    <w:rsid w:val="005D1ED8"/>
    <w:rsid w:val="005E005B"/>
    <w:rsid w:val="005E19FD"/>
    <w:rsid w:val="005E24A6"/>
    <w:rsid w:val="005E42A6"/>
    <w:rsid w:val="005E77B7"/>
    <w:rsid w:val="005F06E0"/>
    <w:rsid w:val="005F6FAE"/>
    <w:rsid w:val="006058BA"/>
    <w:rsid w:val="006058D0"/>
    <w:rsid w:val="00605FAD"/>
    <w:rsid w:val="00607FB2"/>
    <w:rsid w:val="0061033A"/>
    <w:rsid w:val="006136A4"/>
    <w:rsid w:val="00623998"/>
    <w:rsid w:val="00631B92"/>
    <w:rsid w:val="00642AAB"/>
    <w:rsid w:val="0064575E"/>
    <w:rsid w:val="00653315"/>
    <w:rsid w:val="00653348"/>
    <w:rsid w:val="00660656"/>
    <w:rsid w:val="00663B12"/>
    <w:rsid w:val="006643B9"/>
    <w:rsid w:val="00666C1B"/>
    <w:rsid w:val="00672FC9"/>
    <w:rsid w:val="00673FAD"/>
    <w:rsid w:val="0068422F"/>
    <w:rsid w:val="006916F8"/>
    <w:rsid w:val="006A03AB"/>
    <w:rsid w:val="006A1439"/>
    <w:rsid w:val="006B613A"/>
    <w:rsid w:val="006B62DB"/>
    <w:rsid w:val="006B7BB9"/>
    <w:rsid w:val="006C4A11"/>
    <w:rsid w:val="006D22E9"/>
    <w:rsid w:val="006D5814"/>
    <w:rsid w:val="006E122E"/>
    <w:rsid w:val="006F2129"/>
    <w:rsid w:val="006F2FF0"/>
    <w:rsid w:val="006F5AF8"/>
    <w:rsid w:val="006F6953"/>
    <w:rsid w:val="00705D47"/>
    <w:rsid w:val="00707A70"/>
    <w:rsid w:val="00724FD5"/>
    <w:rsid w:val="00726136"/>
    <w:rsid w:val="00733375"/>
    <w:rsid w:val="00733633"/>
    <w:rsid w:val="007368FF"/>
    <w:rsid w:val="00740DCE"/>
    <w:rsid w:val="007442D8"/>
    <w:rsid w:val="00746489"/>
    <w:rsid w:val="00750216"/>
    <w:rsid w:val="00761C2B"/>
    <w:rsid w:val="0076467E"/>
    <w:rsid w:val="00765667"/>
    <w:rsid w:val="007817B7"/>
    <w:rsid w:val="00792FF1"/>
    <w:rsid w:val="007A2CE2"/>
    <w:rsid w:val="007A5326"/>
    <w:rsid w:val="007B3270"/>
    <w:rsid w:val="007C483D"/>
    <w:rsid w:val="007C76F9"/>
    <w:rsid w:val="007F7CD2"/>
    <w:rsid w:val="0080096B"/>
    <w:rsid w:val="008024E8"/>
    <w:rsid w:val="00810C5C"/>
    <w:rsid w:val="008147AD"/>
    <w:rsid w:val="008375EF"/>
    <w:rsid w:val="00847EA6"/>
    <w:rsid w:val="00854E24"/>
    <w:rsid w:val="0086015B"/>
    <w:rsid w:val="008706A2"/>
    <w:rsid w:val="00881C75"/>
    <w:rsid w:val="00882811"/>
    <w:rsid w:val="008846EB"/>
    <w:rsid w:val="00890665"/>
    <w:rsid w:val="008912CC"/>
    <w:rsid w:val="00893FB8"/>
    <w:rsid w:val="008A0C35"/>
    <w:rsid w:val="008A12E1"/>
    <w:rsid w:val="008A21DD"/>
    <w:rsid w:val="008A53A0"/>
    <w:rsid w:val="008B172F"/>
    <w:rsid w:val="008B534D"/>
    <w:rsid w:val="008B7C92"/>
    <w:rsid w:val="008C0C6C"/>
    <w:rsid w:val="008C3DCA"/>
    <w:rsid w:val="008C45D4"/>
    <w:rsid w:val="008D16BC"/>
    <w:rsid w:val="008D2702"/>
    <w:rsid w:val="008E1560"/>
    <w:rsid w:val="008E1946"/>
    <w:rsid w:val="008E4520"/>
    <w:rsid w:val="008E5B94"/>
    <w:rsid w:val="008F2CCE"/>
    <w:rsid w:val="008F5FCB"/>
    <w:rsid w:val="00901187"/>
    <w:rsid w:val="00912A83"/>
    <w:rsid w:val="00927068"/>
    <w:rsid w:val="00927A2A"/>
    <w:rsid w:val="00927F64"/>
    <w:rsid w:val="00930E37"/>
    <w:rsid w:val="00931606"/>
    <w:rsid w:val="00945F4D"/>
    <w:rsid w:val="009506B4"/>
    <w:rsid w:val="00955C7B"/>
    <w:rsid w:val="0097706F"/>
    <w:rsid w:val="0098091F"/>
    <w:rsid w:val="0098511C"/>
    <w:rsid w:val="009874B1"/>
    <w:rsid w:val="009B37CB"/>
    <w:rsid w:val="009B64FE"/>
    <w:rsid w:val="009F02CF"/>
    <w:rsid w:val="009F09DF"/>
    <w:rsid w:val="009F4540"/>
    <w:rsid w:val="00A15C87"/>
    <w:rsid w:val="00A16D68"/>
    <w:rsid w:val="00A22D65"/>
    <w:rsid w:val="00A305F1"/>
    <w:rsid w:val="00A42B44"/>
    <w:rsid w:val="00A4641D"/>
    <w:rsid w:val="00A55CA0"/>
    <w:rsid w:val="00A61F0D"/>
    <w:rsid w:val="00A63AF8"/>
    <w:rsid w:val="00A73FC4"/>
    <w:rsid w:val="00A75103"/>
    <w:rsid w:val="00A877FD"/>
    <w:rsid w:val="00A9283B"/>
    <w:rsid w:val="00A94187"/>
    <w:rsid w:val="00A97D36"/>
    <w:rsid w:val="00AA486A"/>
    <w:rsid w:val="00AA7419"/>
    <w:rsid w:val="00AD099A"/>
    <w:rsid w:val="00AD557A"/>
    <w:rsid w:val="00AD5596"/>
    <w:rsid w:val="00AE6680"/>
    <w:rsid w:val="00AF068E"/>
    <w:rsid w:val="00B007DA"/>
    <w:rsid w:val="00B10E26"/>
    <w:rsid w:val="00B20366"/>
    <w:rsid w:val="00B2182E"/>
    <w:rsid w:val="00B25798"/>
    <w:rsid w:val="00B2579D"/>
    <w:rsid w:val="00B371C9"/>
    <w:rsid w:val="00B42768"/>
    <w:rsid w:val="00B5587C"/>
    <w:rsid w:val="00B73ED4"/>
    <w:rsid w:val="00B75A28"/>
    <w:rsid w:val="00B817AC"/>
    <w:rsid w:val="00B944F6"/>
    <w:rsid w:val="00B94E54"/>
    <w:rsid w:val="00BB1B35"/>
    <w:rsid w:val="00BB1BBB"/>
    <w:rsid w:val="00BB3834"/>
    <w:rsid w:val="00BC5420"/>
    <w:rsid w:val="00BC62D6"/>
    <w:rsid w:val="00BD1AE3"/>
    <w:rsid w:val="00BD23CB"/>
    <w:rsid w:val="00BD525B"/>
    <w:rsid w:val="00BD70B2"/>
    <w:rsid w:val="00BE4A57"/>
    <w:rsid w:val="00BF0937"/>
    <w:rsid w:val="00BF4929"/>
    <w:rsid w:val="00BF7E0E"/>
    <w:rsid w:val="00C02E7D"/>
    <w:rsid w:val="00C12724"/>
    <w:rsid w:val="00C1645F"/>
    <w:rsid w:val="00C22B25"/>
    <w:rsid w:val="00C25724"/>
    <w:rsid w:val="00C30E74"/>
    <w:rsid w:val="00C52563"/>
    <w:rsid w:val="00C57F5C"/>
    <w:rsid w:val="00C717CF"/>
    <w:rsid w:val="00C7662A"/>
    <w:rsid w:val="00C77175"/>
    <w:rsid w:val="00C8265F"/>
    <w:rsid w:val="00C86280"/>
    <w:rsid w:val="00C95E89"/>
    <w:rsid w:val="00C96A2F"/>
    <w:rsid w:val="00CA21C6"/>
    <w:rsid w:val="00CA3D29"/>
    <w:rsid w:val="00CA6148"/>
    <w:rsid w:val="00CA70AE"/>
    <w:rsid w:val="00CA7E2B"/>
    <w:rsid w:val="00CB52EB"/>
    <w:rsid w:val="00CC41DE"/>
    <w:rsid w:val="00CD2FBF"/>
    <w:rsid w:val="00CD33C1"/>
    <w:rsid w:val="00CD4F84"/>
    <w:rsid w:val="00CF2BE1"/>
    <w:rsid w:val="00D0372E"/>
    <w:rsid w:val="00D07639"/>
    <w:rsid w:val="00D17CBF"/>
    <w:rsid w:val="00D252EA"/>
    <w:rsid w:val="00D3043C"/>
    <w:rsid w:val="00D351BE"/>
    <w:rsid w:val="00D40BB0"/>
    <w:rsid w:val="00D445B2"/>
    <w:rsid w:val="00D46832"/>
    <w:rsid w:val="00D60029"/>
    <w:rsid w:val="00D65821"/>
    <w:rsid w:val="00D72C31"/>
    <w:rsid w:val="00D73CBC"/>
    <w:rsid w:val="00D9185C"/>
    <w:rsid w:val="00D91C8F"/>
    <w:rsid w:val="00D9760D"/>
    <w:rsid w:val="00DA0FAE"/>
    <w:rsid w:val="00DA2D9D"/>
    <w:rsid w:val="00DA558D"/>
    <w:rsid w:val="00DA61B0"/>
    <w:rsid w:val="00DB1DD8"/>
    <w:rsid w:val="00DB4CB8"/>
    <w:rsid w:val="00DC53A3"/>
    <w:rsid w:val="00DD06DC"/>
    <w:rsid w:val="00DD3704"/>
    <w:rsid w:val="00DD3740"/>
    <w:rsid w:val="00DE33A8"/>
    <w:rsid w:val="00DE4747"/>
    <w:rsid w:val="00DE68F0"/>
    <w:rsid w:val="00DE7479"/>
    <w:rsid w:val="00DF0369"/>
    <w:rsid w:val="00DF4F04"/>
    <w:rsid w:val="00E00349"/>
    <w:rsid w:val="00E0099D"/>
    <w:rsid w:val="00E05C27"/>
    <w:rsid w:val="00E13E46"/>
    <w:rsid w:val="00E1554A"/>
    <w:rsid w:val="00E174C0"/>
    <w:rsid w:val="00E20A10"/>
    <w:rsid w:val="00E20C16"/>
    <w:rsid w:val="00E22C59"/>
    <w:rsid w:val="00E24468"/>
    <w:rsid w:val="00E3023C"/>
    <w:rsid w:val="00E33DE3"/>
    <w:rsid w:val="00E34B0C"/>
    <w:rsid w:val="00E3628D"/>
    <w:rsid w:val="00E369B2"/>
    <w:rsid w:val="00E44D8A"/>
    <w:rsid w:val="00E53FC3"/>
    <w:rsid w:val="00E61500"/>
    <w:rsid w:val="00E755AA"/>
    <w:rsid w:val="00E7645B"/>
    <w:rsid w:val="00E8012C"/>
    <w:rsid w:val="00E80E44"/>
    <w:rsid w:val="00E82B51"/>
    <w:rsid w:val="00E83A77"/>
    <w:rsid w:val="00E86AAA"/>
    <w:rsid w:val="00E92829"/>
    <w:rsid w:val="00E94C8F"/>
    <w:rsid w:val="00E95464"/>
    <w:rsid w:val="00EA31D7"/>
    <w:rsid w:val="00EA454C"/>
    <w:rsid w:val="00EB108E"/>
    <w:rsid w:val="00EB3DF1"/>
    <w:rsid w:val="00EB7133"/>
    <w:rsid w:val="00EC36F1"/>
    <w:rsid w:val="00EC5F05"/>
    <w:rsid w:val="00EC6CA3"/>
    <w:rsid w:val="00ED4085"/>
    <w:rsid w:val="00ED7D5C"/>
    <w:rsid w:val="00EF4A4C"/>
    <w:rsid w:val="00EF4C5C"/>
    <w:rsid w:val="00EF7891"/>
    <w:rsid w:val="00EF7CE9"/>
    <w:rsid w:val="00F013AD"/>
    <w:rsid w:val="00F029BC"/>
    <w:rsid w:val="00F03074"/>
    <w:rsid w:val="00F07B16"/>
    <w:rsid w:val="00F25840"/>
    <w:rsid w:val="00F36562"/>
    <w:rsid w:val="00F41459"/>
    <w:rsid w:val="00F51CAB"/>
    <w:rsid w:val="00F607B9"/>
    <w:rsid w:val="00F66383"/>
    <w:rsid w:val="00F67E80"/>
    <w:rsid w:val="00F759C8"/>
    <w:rsid w:val="00F763EA"/>
    <w:rsid w:val="00F770E6"/>
    <w:rsid w:val="00F9222B"/>
    <w:rsid w:val="00F9279E"/>
    <w:rsid w:val="00F97330"/>
    <w:rsid w:val="00FA0743"/>
    <w:rsid w:val="00FA0A29"/>
    <w:rsid w:val="00FA4D60"/>
    <w:rsid w:val="00FA56CB"/>
    <w:rsid w:val="00FB47D2"/>
    <w:rsid w:val="00FB50C9"/>
    <w:rsid w:val="00FC001F"/>
    <w:rsid w:val="00FE0355"/>
    <w:rsid w:val="00FE2850"/>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B6517B"/>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753840"/>
    <w:rsid w:val="439711A6"/>
    <w:rsid w:val="43C37F59"/>
    <w:rsid w:val="43D75451"/>
    <w:rsid w:val="43F81C45"/>
    <w:rsid w:val="443F5735"/>
    <w:rsid w:val="4498417F"/>
    <w:rsid w:val="44D3620E"/>
    <w:rsid w:val="44DE52DF"/>
    <w:rsid w:val="454D175A"/>
    <w:rsid w:val="462D2AFF"/>
    <w:rsid w:val="464473C4"/>
    <w:rsid w:val="46ED5A14"/>
    <w:rsid w:val="470C53AE"/>
    <w:rsid w:val="4763003C"/>
    <w:rsid w:val="47685E05"/>
    <w:rsid w:val="47DF53F1"/>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600962"/>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3"/>
    <w:qFormat/>
    <w:uiPriority w:val="99"/>
    <w:pPr>
      <w:keepNext/>
      <w:keepLines/>
      <w:spacing w:before="260" w:after="260" w:line="413" w:lineRule="auto"/>
      <w:outlineLvl w:val="2"/>
    </w:pPr>
    <w:rPr>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31"/>
    <w:qFormat/>
    <w:uiPriority w:val="99"/>
    <w:pPr>
      <w:spacing w:after="120"/>
      <w:ind w:left="420" w:leftChars="200"/>
    </w:pPr>
  </w:style>
  <w:style w:type="paragraph" w:styleId="7">
    <w:name w:val="annotation text"/>
    <w:basedOn w:val="1"/>
    <w:unhideWhenUsed/>
    <w:qFormat/>
    <w:uiPriority w:val="0"/>
    <w:pPr>
      <w:jc w:val="left"/>
    </w:pPr>
  </w:style>
  <w:style w:type="paragraph" w:styleId="8">
    <w:name w:val="Body Text"/>
    <w:basedOn w:val="1"/>
    <w:link w:val="28"/>
    <w:qFormat/>
    <w:uiPriority w:val="99"/>
    <w:rPr>
      <w:rFonts w:ascii="宋体" w:hAnsi="宋体" w:cs="宋体"/>
      <w:sz w:val="28"/>
      <w:szCs w:val="28"/>
    </w:rPr>
  </w:style>
  <w:style w:type="paragraph" w:styleId="9">
    <w:name w:val="Date"/>
    <w:basedOn w:val="1"/>
    <w:next w:val="1"/>
    <w:link w:val="32"/>
    <w:qFormat/>
    <w:uiPriority w:val="99"/>
    <w:pPr>
      <w:ind w:left="100" w:leftChars="2500"/>
    </w:pPr>
  </w:style>
  <w:style w:type="paragraph" w:styleId="10">
    <w:name w:val="Body Text Indent 2"/>
    <w:basedOn w:val="1"/>
    <w:link w:val="27"/>
    <w:qFormat/>
    <w:uiPriority w:val="99"/>
    <w:pPr>
      <w:spacing w:after="120" w:line="480" w:lineRule="auto"/>
      <w:ind w:left="420" w:leftChars="200"/>
    </w:pPr>
  </w:style>
  <w:style w:type="paragraph" w:styleId="11">
    <w:name w:val="Balloon Text"/>
    <w:basedOn w:val="1"/>
    <w:link w:val="24"/>
    <w:qFormat/>
    <w:uiPriority w:val="99"/>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Hyperlink"/>
    <w:basedOn w:val="17"/>
    <w:unhideWhenUsed/>
    <w:qFormat/>
    <w:uiPriority w:val="99"/>
    <w:rPr>
      <w:color w:val="0000FF" w:themeColor="hyperlink"/>
      <w:u w:val="single"/>
    </w:rPr>
  </w:style>
  <w:style w:type="character" w:customStyle="1" w:styleId="20">
    <w:name w:val="页眉 Char"/>
    <w:basedOn w:val="17"/>
    <w:link w:val="13"/>
    <w:qFormat/>
    <w:uiPriority w:val="99"/>
    <w:rPr>
      <w:sz w:val="18"/>
      <w:szCs w:val="18"/>
    </w:rPr>
  </w:style>
  <w:style w:type="character" w:customStyle="1" w:styleId="21">
    <w:name w:val="页脚 Char"/>
    <w:basedOn w:val="17"/>
    <w:link w:val="12"/>
    <w:qFormat/>
    <w:uiPriority w:val="99"/>
    <w:rPr>
      <w:sz w:val="18"/>
      <w:szCs w:val="18"/>
    </w:rPr>
  </w:style>
  <w:style w:type="character" w:customStyle="1" w:styleId="22">
    <w:name w:val="标题 2 Char"/>
    <w:basedOn w:val="17"/>
    <w:link w:val="4"/>
    <w:qFormat/>
    <w:uiPriority w:val="99"/>
    <w:rPr>
      <w:rFonts w:ascii="Cambria" w:hAnsi="Cambria" w:eastAsia="宋体" w:cs="Cambria"/>
      <w:b/>
      <w:bCs/>
      <w:sz w:val="32"/>
      <w:szCs w:val="32"/>
    </w:rPr>
  </w:style>
  <w:style w:type="character" w:customStyle="1" w:styleId="23">
    <w:name w:val="标题 3 Char"/>
    <w:basedOn w:val="17"/>
    <w:link w:val="5"/>
    <w:qFormat/>
    <w:uiPriority w:val="99"/>
    <w:rPr>
      <w:rFonts w:ascii="Times New Roman" w:hAnsi="Times New Roman" w:eastAsia="宋体" w:cs="Times New Roman"/>
      <w:b/>
      <w:bCs/>
      <w:sz w:val="32"/>
      <w:szCs w:val="32"/>
    </w:rPr>
  </w:style>
  <w:style w:type="character" w:customStyle="1" w:styleId="24">
    <w:name w:val="批注框文本 Char"/>
    <w:basedOn w:val="17"/>
    <w:link w:val="11"/>
    <w:qFormat/>
    <w:uiPriority w:val="99"/>
    <w:rPr>
      <w:rFonts w:ascii="Times New Roman" w:hAnsi="Times New Roman" w:eastAsia="宋体" w:cs="Times New Roman"/>
      <w:sz w:val="18"/>
      <w:szCs w:val="18"/>
    </w:rPr>
  </w:style>
  <w:style w:type="paragraph" w:customStyle="1" w:styleId="25">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6">
    <w:name w:val="附件标题-1"/>
    <w:basedOn w:val="1"/>
    <w:qFormat/>
    <w:uiPriority w:val="99"/>
    <w:pPr>
      <w:spacing w:beforeLines="50" w:afterLines="50"/>
      <w:jc w:val="center"/>
    </w:pPr>
    <w:rPr>
      <w:rFonts w:eastAsia="黑体"/>
      <w:sz w:val="32"/>
      <w:szCs w:val="32"/>
    </w:rPr>
  </w:style>
  <w:style w:type="character" w:customStyle="1" w:styleId="27">
    <w:name w:val="正文文本缩进 2 Char"/>
    <w:basedOn w:val="17"/>
    <w:link w:val="10"/>
    <w:qFormat/>
    <w:uiPriority w:val="99"/>
    <w:rPr>
      <w:rFonts w:ascii="Times New Roman" w:hAnsi="Times New Roman" w:eastAsia="宋体" w:cs="Times New Roman"/>
      <w:szCs w:val="21"/>
    </w:rPr>
  </w:style>
  <w:style w:type="character" w:customStyle="1" w:styleId="28">
    <w:name w:val="正文文本 Char"/>
    <w:basedOn w:val="17"/>
    <w:link w:val="8"/>
    <w:qFormat/>
    <w:uiPriority w:val="99"/>
    <w:rPr>
      <w:rFonts w:ascii="宋体" w:hAnsi="宋体" w:eastAsia="宋体" w:cs="宋体"/>
      <w:sz w:val="28"/>
      <w:szCs w:val="28"/>
    </w:rPr>
  </w:style>
  <w:style w:type="paragraph" w:customStyle="1" w:styleId="2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M1"/>
    <w:basedOn w:val="29"/>
    <w:next w:val="29"/>
    <w:qFormat/>
    <w:uiPriority w:val="99"/>
    <w:rPr>
      <w:color w:val="auto"/>
    </w:rPr>
  </w:style>
  <w:style w:type="character" w:customStyle="1" w:styleId="31">
    <w:name w:val="正文文本缩进 Char"/>
    <w:basedOn w:val="17"/>
    <w:link w:val="3"/>
    <w:qFormat/>
    <w:uiPriority w:val="99"/>
    <w:rPr>
      <w:rFonts w:ascii="Times New Roman" w:hAnsi="Times New Roman" w:eastAsia="宋体" w:cs="Times New Roman"/>
      <w:szCs w:val="21"/>
    </w:rPr>
  </w:style>
  <w:style w:type="character" w:customStyle="1" w:styleId="32">
    <w:name w:val="日期 Char"/>
    <w:basedOn w:val="17"/>
    <w:link w:val="9"/>
    <w:qFormat/>
    <w:uiPriority w:val="99"/>
    <w:rPr>
      <w:rFonts w:ascii="Times New Roman" w:hAnsi="Times New Roman" w:eastAsia="宋体" w:cs="Times New Roman"/>
      <w:szCs w:val="21"/>
    </w:rPr>
  </w:style>
  <w:style w:type="paragraph" w:styleId="33">
    <w:name w:val="List Paragraph"/>
    <w:basedOn w:val="1"/>
    <w:qFormat/>
    <w:uiPriority w:val="34"/>
    <w:pPr>
      <w:ind w:firstLine="420" w:firstLineChars="200"/>
    </w:pPr>
    <w:rPr>
      <w:szCs w:val="24"/>
    </w:rPr>
  </w:style>
  <w:style w:type="paragraph" w:customStyle="1" w:styleId="3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5">
    <w:name w:val="标题 4 Char"/>
    <w:basedOn w:val="17"/>
    <w:link w:val="6"/>
    <w:semiHidden/>
    <w:qFormat/>
    <w:uiPriority w:val="9"/>
    <w:rPr>
      <w:rFonts w:asciiTheme="majorHAnsi" w:hAnsiTheme="majorHAnsi" w:eastAsiaTheme="majorEastAsia" w:cstheme="majorBidi"/>
      <w:b/>
      <w:bCs/>
      <w:kern w:val="2"/>
      <w:sz w:val="28"/>
      <w:szCs w:val="28"/>
    </w:rPr>
  </w:style>
  <w:style w:type="paragraph" w:customStyle="1" w:styleId="36">
    <w:name w:val="正文--2字符首行缩进"/>
    <w:basedOn w:val="1"/>
    <w:qFormat/>
    <w:uiPriority w:val="0"/>
    <w:pPr>
      <w:widowControl/>
      <w:snapToGrid w:val="0"/>
      <w:spacing w:after="200" w:line="360" w:lineRule="auto"/>
      <w:ind w:firstLine="560" w:firstLineChars="200"/>
      <w:jc w:val="left"/>
    </w:pPr>
    <w:rPr>
      <w:rFonts w:ascii="仿宋_GB2312" w:hAnsi="宋体" w:eastAsia="仿宋_GB2312"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013D9-2153-46A5-8854-707BB9C883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7632</Words>
  <Characters>7926</Characters>
  <Lines>68</Lines>
  <Paragraphs>19</Paragraphs>
  <TotalTime>6</TotalTime>
  <ScaleCrop>false</ScaleCrop>
  <LinksUpToDate>false</LinksUpToDate>
  <CharactersWithSpaces>8804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2023-08-16T06:37:00Z</dcterms:created>
  <dc:creator>admin</dc:creator>
  <cp:lastModifiedBy>QY~勇</cp:lastModifiedBy>
  <cp:lastPrinted>2021-05-19T02:12:00Z</cp:lastPrinted>
  <dcterms:modified xsi:type="dcterms:W3CDTF">2023-08-23T02:19:24Z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2052-11.1.0.14309</vt:lpwstr>
  </property>
</Properties>
</file>