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b/>
          <w:sz w:val="32"/>
          <w:szCs w:val="32"/>
        </w:rPr>
        <w:t xml:space="preserve">  项目名称：</w:t>
      </w:r>
      <w:r>
        <w:rPr>
          <w:rFonts w:hint="eastAsia"/>
          <w:b/>
          <w:sz w:val="32"/>
          <w:szCs w:val="32"/>
          <w:u w:val="single"/>
        </w:rPr>
        <w:t xml:space="preserve"> 重钢总医院影像云接入设备采购项目</w:t>
      </w:r>
      <w:r>
        <w:rPr>
          <w:rFonts w:hint="eastAsia"/>
          <w:b/>
          <w:sz w:val="28"/>
          <w:szCs w:val="28"/>
          <w:u w:val="single"/>
        </w:rPr>
        <w:t xml:space="preserve"> </w:t>
      </w:r>
    </w:p>
    <w:p>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CGZYYCG2023</w:t>
      </w:r>
      <w:r>
        <w:rPr>
          <w:rFonts w:hint="eastAsia"/>
          <w:sz w:val="28"/>
          <w:szCs w:val="28"/>
          <w:u w:val="single"/>
        </w:rPr>
        <w:t>2</w:t>
      </w:r>
      <w:r>
        <w:rPr>
          <w:rFonts w:hint="eastAsia"/>
          <w:sz w:val="28"/>
          <w:szCs w:val="28"/>
          <w:u w:val="single"/>
          <w:lang w:val="en-US" w:eastAsia="zh-CN"/>
        </w:rPr>
        <w:t>9</w:t>
      </w:r>
      <w:r>
        <w:rPr>
          <w:rFonts w:hint="eastAsia"/>
          <w:sz w:val="28"/>
          <w:szCs w:val="28"/>
          <w:u w:val="single"/>
        </w:rPr>
        <w:t xml:space="preserve">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rPr>
      </w:pPr>
      <w:r>
        <w:rPr>
          <w:rFonts w:hint="eastAsia" w:ascii="宋体" w:hAnsi="宋体"/>
          <w:sz w:val="28"/>
          <w:szCs w:val="28"/>
        </w:rPr>
        <w:t>202</w:t>
      </w:r>
      <w:r>
        <w:rPr>
          <w:rFonts w:ascii="宋体" w:hAnsi="宋体"/>
          <w:sz w:val="28"/>
          <w:szCs w:val="28"/>
        </w:rPr>
        <w:t>3</w:t>
      </w:r>
      <w:r>
        <w:rPr>
          <w:rFonts w:hint="eastAsia" w:ascii="宋体" w:hAnsi="宋体"/>
          <w:sz w:val="28"/>
          <w:szCs w:val="28"/>
        </w:rPr>
        <w:t>年9月</w:t>
      </w:r>
      <w:r>
        <w:rPr>
          <w:rFonts w:hint="eastAsia" w:ascii="宋体" w:hAnsi="宋体"/>
          <w:sz w:val="28"/>
          <w:szCs w:val="28"/>
          <w:lang w:val="en-US" w:eastAsia="zh-CN"/>
        </w:rPr>
        <w:t>22</w:t>
      </w:r>
      <w:r>
        <w:rPr>
          <w:rFonts w:hint="eastAsia" w:ascii="宋体" w:hAnsi="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hAnsi="宋体" w:cs="宋体"/>
          <w:b/>
          <w:bCs/>
          <w:sz w:val="24"/>
          <w:szCs w:val="24"/>
        </w:rPr>
      </w:pPr>
      <w:r>
        <w:rPr>
          <w:rFonts w:hint="eastAsia" w:ascii="宋体" w:hAnsi="宋体" w:cs="宋体"/>
          <w:b/>
          <w:bCs/>
          <w:sz w:val="24"/>
          <w:szCs w:val="24"/>
        </w:rPr>
        <w:t xml:space="preserve">第一章  </w:t>
      </w:r>
      <w:r>
        <w:rPr>
          <w:rFonts w:hint="eastAsia" w:ascii="宋体" w:hAnsi="宋体" w:cs="宋体"/>
          <w:b/>
          <w:bCs/>
          <w:sz w:val="24"/>
          <w:szCs w:val="24"/>
          <w:u w:val="single"/>
        </w:rPr>
        <w:t xml:space="preserve">  重钢总医院影像云</w:t>
      </w:r>
      <w:r>
        <w:rPr>
          <w:rFonts w:hint="eastAsia" w:ascii="宋体" w:hAnsi="宋体" w:cs="宋体"/>
          <w:b/>
          <w:bCs/>
          <w:sz w:val="24"/>
          <w:szCs w:val="24"/>
          <w:u w:val="single"/>
          <w:lang w:eastAsia="zh-CN"/>
        </w:rPr>
        <w:t>接入</w:t>
      </w:r>
      <w:r>
        <w:rPr>
          <w:rFonts w:hint="eastAsia" w:ascii="宋体" w:hAnsi="宋体" w:cs="宋体"/>
          <w:b/>
          <w:bCs/>
          <w:sz w:val="24"/>
          <w:szCs w:val="24"/>
          <w:u w:val="single"/>
        </w:rPr>
        <w:t xml:space="preserve">设备采购项目  </w:t>
      </w:r>
      <w:r>
        <w:rPr>
          <w:rFonts w:hint="eastAsia" w:ascii="宋体" w:hAnsi="宋体" w:cs="宋体"/>
          <w:b/>
          <w:bCs/>
          <w:sz w:val="24"/>
          <w:szCs w:val="24"/>
        </w:rPr>
        <w:t>比选公告</w:t>
      </w:r>
    </w:p>
    <w:p>
      <w:pPr>
        <w:spacing w:line="420" w:lineRule="exact"/>
        <w:ind w:firstLine="480" w:firstLineChars="200"/>
        <w:jc w:val="left"/>
        <w:rPr>
          <w:rFonts w:ascii="宋体" w:hAnsi="宋体" w:cs="宋体"/>
          <w:sz w:val="24"/>
          <w:szCs w:val="24"/>
        </w:rPr>
      </w:pPr>
    </w:p>
    <w:p>
      <w:pPr>
        <w:spacing w:line="420" w:lineRule="exact"/>
        <w:ind w:firstLine="480" w:firstLineChars="200"/>
        <w:jc w:val="left"/>
        <w:rPr>
          <w:rFonts w:ascii="宋体" w:hAnsi="宋体" w:cs="宋体"/>
          <w:sz w:val="24"/>
          <w:szCs w:val="24"/>
        </w:rPr>
      </w:pPr>
      <w:r>
        <w:rPr>
          <w:rFonts w:hint="eastAsia" w:ascii="宋体" w:hAnsi="宋体" w:cs="宋体"/>
          <w:sz w:val="24"/>
          <w:szCs w:val="24"/>
        </w:rPr>
        <w:t>重钢总医院拟对重钢总医院影像</w:t>
      </w:r>
      <w:r>
        <w:rPr>
          <w:rFonts w:hint="eastAsia" w:ascii="宋体" w:hAnsi="宋体" w:cs="宋体"/>
          <w:sz w:val="24"/>
          <w:szCs w:val="24"/>
          <w:lang w:eastAsia="zh-CN"/>
        </w:rPr>
        <w:t>云接入</w:t>
      </w:r>
      <w:r>
        <w:rPr>
          <w:rFonts w:hint="eastAsia" w:ascii="宋体" w:hAnsi="宋体" w:cs="宋体"/>
          <w:sz w:val="24"/>
          <w:szCs w:val="24"/>
        </w:rPr>
        <w:t>设备采购项目进行比选。欢迎有合法资质的单位前来参选。</w:t>
      </w: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：重钢总医院影像云接入设备采购项目</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二、项目地点：</w:t>
      </w:r>
      <w:r>
        <w:rPr>
          <w:rFonts w:hint="eastAsia" w:ascii="宋体" w:hAnsi="宋体" w:cs="宋体"/>
          <w:bCs/>
          <w:sz w:val="24"/>
          <w:szCs w:val="24"/>
        </w:rPr>
        <w:t>重钢总医院。</w:t>
      </w:r>
    </w:p>
    <w:p>
      <w:pPr>
        <w:spacing w:line="420" w:lineRule="exact"/>
        <w:ind w:firstLine="482" w:firstLineChars="200"/>
        <w:rPr>
          <w:rFonts w:ascii="宋体" w:hAnsi="宋体" w:cs="宋体"/>
          <w:bCs/>
          <w:sz w:val="24"/>
          <w:szCs w:val="24"/>
        </w:rPr>
      </w:pPr>
      <w:r>
        <w:rPr>
          <w:rFonts w:hint="eastAsia" w:ascii="宋体" w:hAnsi="宋体" w:cs="宋体"/>
          <w:b/>
          <w:bCs/>
          <w:sz w:val="24"/>
          <w:szCs w:val="24"/>
        </w:rPr>
        <w:t>三、项目工期：</w:t>
      </w:r>
      <w:r>
        <w:rPr>
          <w:rFonts w:ascii="宋体" w:hAnsi="宋体" w:cs="宋体"/>
          <w:bCs/>
          <w:sz w:val="24"/>
          <w:szCs w:val="24"/>
        </w:rPr>
        <w:t>30</w:t>
      </w:r>
      <w:r>
        <w:rPr>
          <w:rFonts w:hint="eastAsia" w:ascii="宋体" w:hAnsi="宋体" w:cs="宋体"/>
          <w:bCs/>
          <w:sz w:val="24"/>
          <w:szCs w:val="24"/>
        </w:rPr>
        <w:t>日历天，具体开工日期以业主指令为准。</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四、项目概况：</w:t>
      </w:r>
    </w:p>
    <w:tbl>
      <w:tblPr>
        <w:tblStyle w:val="11"/>
        <w:tblW w:w="4451" w:type="pc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2693"/>
        <w:gridCol w:w="2125"/>
        <w:gridCol w:w="113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3"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序号</w:t>
            </w:r>
          </w:p>
        </w:tc>
        <w:tc>
          <w:tcPr>
            <w:tcW w:w="1557"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采购需求</w:t>
            </w:r>
          </w:p>
        </w:tc>
        <w:tc>
          <w:tcPr>
            <w:tcW w:w="1229"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限价</w:t>
            </w:r>
          </w:p>
        </w:tc>
        <w:tc>
          <w:tcPr>
            <w:tcW w:w="656"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数量</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3"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1</w:t>
            </w:r>
          </w:p>
        </w:tc>
        <w:tc>
          <w:tcPr>
            <w:tcW w:w="1557"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路由器</w:t>
            </w:r>
          </w:p>
        </w:tc>
        <w:tc>
          <w:tcPr>
            <w:tcW w:w="1229"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5</w:t>
            </w:r>
            <w:r>
              <w:rPr>
                <w:rFonts w:ascii="宋体" w:hAnsi="宋体" w:cs="宋体"/>
                <w:bCs/>
                <w:sz w:val="24"/>
                <w:szCs w:val="24"/>
              </w:rPr>
              <w:t>7400</w:t>
            </w:r>
          </w:p>
        </w:tc>
        <w:tc>
          <w:tcPr>
            <w:tcW w:w="656"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1</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03"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2</w:t>
            </w:r>
          </w:p>
        </w:tc>
        <w:tc>
          <w:tcPr>
            <w:tcW w:w="1557"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网闸</w:t>
            </w:r>
          </w:p>
        </w:tc>
        <w:tc>
          <w:tcPr>
            <w:tcW w:w="1229"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40600</w:t>
            </w:r>
          </w:p>
        </w:tc>
        <w:tc>
          <w:tcPr>
            <w:tcW w:w="656"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1</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03"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3</w:t>
            </w:r>
          </w:p>
        </w:tc>
        <w:tc>
          <w:tcPr>
            <w:tcW w:w="1557"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下一代防火墙</w:t>
            </w:r>
          </w:p>
        </w:tc>
        <w:tc>
          <w:tcPr>
            <w:tcW w:w="1229"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6</w:t>
            </w:r>
            <w:r>
              <w:rPr>
                <w:rFonts w:ascii="宋体" w:hAnsi="宋体" w:cs="宋体"/>
                <w:bCs/>
                <w:sz w:val="24"/>
                <w:szCs w:val="24"/>
              </w:rPr>
              <w:t>8600</w:t>
            </w:r>
          </w:p>
        </w:tc>
        <w:tc>
          <w:tcPr>
            <w:tcW w:w="656" w:type="pct"/>
            <w:shd w:val="clear" w:color="auto" w:fill="auto"/>
            <w:vAlign w:val="center"/>
          </w:tcPr>
          <w:p>
            <w:pPr>
              <w:spacing w:line="420" w:lineRule="exact"/>
              <w:jc w:val="center"/>
              <w:rPr>
                <w:rFonts w:ascii="宋体" w:hAnsi="宋体" w:cs="宋体"/>
                <w:bCs/>
                <w:sz w:val="24"/>
                <w:szCs w:val="24"/>
              </w:rPr>
            </w:pPr>
            <w:r>
              <w:rPr>
                <w:rFonts w:ascii="宋体" w:hAnsi="宋体" w:cs="宋体"/>
                <w:bCs/>
                <w:sz w:val="24"/>
                <w:szCs w:val="24"/>
              </w:rPr>
              <w:t>1</w:t>
            </w:r>
          </w:p>
        </w:tc>
        <w:tc>
          <w:tcPr>
            <w:tcW w:w="655" w:type="pct"/>
            <w:shd w:val="clear" w:color="auto" w:fill="auto"/>
            <w:vAlign w:val="center"/>
          </w:tcPr>
          <w:p>
            <w:pPr>
              <w:spacing w:line="420" w:lineRule="exact"/>
              <w:jc w:val="center"/>
              <w:rPr>
                <w:rFonts w:ascii="宋体" w:hAnsi="宋体" w:cs="宋体"/>
                <w:bCs/>
                <w:sz w:val="24"/>
                <w:szCs w:val="24"/>
              </w:rPr>
            </w:pPr>
            <w:r>
              <w:rPr>
                <w:rFonts w:hint="eastAsia" w:ascii="宋体" w:hAnsi="宋体" w:cs="宋体"/>
                <w:bCs/>
                <w:sz w:val="24"/>
                <w:szCs w:val="24"/>
              </w:rPr>
              <w:t>台</w:t>
            </w:r>
          </w:p>
        </w:tc>
      </w:tr>
    </w:tbl>
    <w:p/>
    <w:p>
      <w:pPr>
        <w:spacing w:line="420" w:lineRule="exact"/>
        <w:ind w:firstLine="482" w:firstLineChars="200"/>
        <w:rPr>
          <w:rFonts w:ascii="宋体" w:hAnsi="宋体" w:cs="宋体"/>
          <w:sz w:val="24"/>
          <w:szCs w:val="24"/>
        </w:rPr>
      </w:pPr>
      <w:r>
        <w:rPr>
          <w:rFonts w:hint="eastAsia" w:ascii="宋体" w:hAnsi="宋体" w:cs="宋体"/>
          <w:b/>
          <w:bCs/>
          <w:sz w:val="24"/>
          <w:szCs w:val="24"/>
        </w:rPr>
        <w:t>五、资格要求</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（一）</w:t>
      </w:r>
      <w:r>
        <w:rPr>
          <w:rFonts w:hint="eastAsia" w:ascii="宋体" w:hAnsi="宋体" w:cs="宋体"/>
          <w:bCs/>
          <w:sz w:val="24"/>
          <w:szCs w:val="24"/>
        </w:rPr>
        <w:t>具有独立承担民事责任的能力</w:t>
      </w:r>
      <w:r>
        <w:rPr>
          <w:rFonts w:hint="eastAsia" w:ascii="宋体" w:hAnsi="宋体" w:cs="宋体"/>
          <w:sz w:val="24"/>
          <w:szCs w:val="24"/>
        </w:rPr>
        <w:t>，</w:t>
      </w:r>
      <w:r>
        <w:rPr>
          <w:rFonts w:hint="eastAsia" w:ascii="宋体" w:hAnsi="宋体" w:cs="宋体"/>
          <w:color w:val="000000"/>
          <w:sz w:val="24"/>
          <w:szCs w:val="24"/>
        </w:rPr>
        <w:t>具有工商行政主管部门核发的有效工商营业执照且范围与本项目相适应</w:t>
      </w:r>
      <w:r>
        <w:rPr>
          <w:rFonts w:hint="eastAsia" w:ascii="宋体" w:hAnsi="宋体" w:cs="宋体"/>
          <w:sz w:val="24"/>
          <w:szCs w:val="24"/>
        </w:rPr>
        <w:t>，并在人员、设备、资金等方面具有相应的能力。（提供加盖响应人鲜章的营业执照复印件）。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20年7月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日至今），在经营活动中没有重大违法记录。响应人提供书面声明。</w:t>
      </w:r>
    </w:p>
    <w:p>
      <w:pPr>
        <w:spacing w:line="42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比选时比选人网上查询下列信息，若下列查询信息显示存在不良行为，比选人有权否决响应人的参选资格。</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1．信用中国网站（</w:t>
      </w:r>
      <w:r>
        <w:fldChar w:fldCharType="begin"/>
      </w:r>
      <w:r>
        <w:instrText xml:space="preserve"> HYPERLINK "http://www.creditchina.gov.cn" </w:instrText>
      </w:r>
      <w:r>
        <w:fldChar w:fldCharType="separate"/>
      </w:r>
      <w:r>
        <w:rPr>
          <w:rFonts w:cs="宋体" w:asciiTheme="minorEastAsia" w:hAnsiTheme="minorEastAsia" w:eastAsiaTheme="minorEastAsia"/>
          <w:sz w:val="24"/>
          <w:szCs w:val="24"/>
        </w:rPr>
        <w:t>www.creditchina.gov.cn</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）以下内容的查询结果网页（查询信息为响应人名称）</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“信用信息”查询结果。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“失信被执行人”查询结果。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“重大税收违法案件当事人名单”查询结果。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“政府行政许可与行政处罚”查询结果。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）“政府采购严重违法失信行为记录名单”查询结果。</w:t>
      </w:r>
    </w:p>
    <w:p>
      <w:pPr>
        <w:spacing w:line="420" w:lineRule="exact"/>
        <w:ind w:firstLine="480" w:firstLineChars="200"/>
        <w:rPr>
          <w:rFonts w:ascii="宋体" w:cs="宋体"/>
          <w:sz w:val="24"/>
          <w:szCs w:val="24"/>
        </w:rPr>
      </w:pPr>
      <w:r>
        <w:rPr>
          <w:rFonts w:hint="eastAsia" w:ascii="宋体" w:cs="宋体"/>
          <w:sz w:val="24"/>
          <w:szCs w:val="24"/>
        </w:rPr>
        <w:t>（三）法律、行政法规规定的其他条件。</w:t>
      </w:r>
    </w:p>
    <w:p>
      <w:pPr>
        <w:spacing w:line="420" w:lineRule="exact"/>
        <w:ind w:firstLine="480" w:firstLineChars="200"/>
        <w:rPr>
          <w:rFonts w:ascii="宋体" w:cs="宋体"/>
          <w:sz w:val="24"/>
          <w:szCs w:val="24"/>
        </w:rPr>
      </w:pPr>
      <w:r>
        <w:rPr>
          <w:rFonts w:hint="eastAsia" w:ascii="宋体" w:cs="宋体"/>
          <w:sz w:val="24"/>
          <w:szCs w:val="24"/>
        </w:rPr>
        <w:t>（四）本次比选不接受联合体参与。</w:t>
      </w:r>
    </w:p>
    <w:p>
      <w:pPr>
        <w:spacing w:line="360" w:lineRule="auto"/>
        <w:ind w:firstLine="482" w:firstLineChars="200"/>
        <w:rPr>
          <w:rFonts w:ascii="宋体" w:hAnsi="宋体" w:cs="宋体"/>
          <w:sz w:val="24"/>
          <w:szCs w:val="24"/>
        </w:rPr>
      </w:pPr>
      <w:r>
        <w:rPr>
          <w:rFonts w:hint="eastAsia" w:ascii="宋体" w:hAnsi="宋体" w:cs="宋体"/>
          <w:b/>
          <w:bCs/>
          <w:sz w:val="24"/>
          <w:szCs w:val="24"/>
        </w:rPr>
        <w:t>六、现场踏勘</w:t>
      </w:r>
      <w:r>
        <w:rPr>
          <w:rFonts w:hint="eastAsia" w:ascii="宋体" w:hAnsi="宋体" w:cs="宋体"/>
          <w:sz w:val="24"/>
          <w:szCs w:val="24"/>
        </w:rPr>
        <w:t>：无</w:t>
      </w:r>
    </w:p>
    <w:p>
      <w:pPr>
        <w:spacing w:line="420" w:lineRule="exact"/>
        <w:ind w:firstLine="482" w:firstLineChars="200"/>
        <w:rPr>
          <w:rFonts w:ascii="宋体" w:hAnsi="宋体" w:cs="宋体"/>
          <w:sz w:val="24"/>
          <w:szCs w:val="24"/>
        </w:rPr>
      </w:pPr>
      <w:r>
        <w:rPr>
          <w:rFonts w:hint="eastAsia" w:ascii="宋体" w:hAnsi="宋体" w:cs="宋体"/>
          <w:b/>
          <w:bCs/>
          <w:sz w:val="24"/>
          <w:szCs w:val="24"/>
        </w:rPr>
        <w:t>七、比选时间、地点及文件获取</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（一）比选文件发布时间：</w:t>
      </w:r>
      <w:r>
        <w:rPr>
          <w:rFonts w:cs="宋体" w:asciiTheme="minorEastAsia" w:hAnsiTheme="minorEastAsia" w:eastAsiaTheme="minorEastAsia"/>
          <w:sz w:val="24"/>
          <w:szCs w:val="24"/>
        </w:rPr>
        <w:t>2023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22</w:t>
      </w:r>
      <w:r>
        <w:rPr>
          <w:rFonts w:hint="eastAsia" w:cs="宋体" w:asciiTheme="minorEastAsia" w:hAnsiTheme="minorEastAsia" w:eastAsiaTheme="minorEastAsia"/>
          <w:sz w:val="24"/>
          <w:szCs w:val="24"/>
        </w:rPr>
        <w:t>日。</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（二）比选时间：</w:t>
      </w:r>
      <w:r>
        <w:rPr>
          <w:rFonts w:cs="宋体" w:asciiTheme="minorEastAsia" w:hAnsiTheme="minorEastAsia" w:eastAsiaTheme="minorEastAsia"/>
          <w:sz w:val="24"/>
          <w:szCs w:val="24"/>
        </w:rPr>
        <w:t>2023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26</w:t>
      </w:r>
      <w:r>
        <w:rPr>
          <w:rFonts w:hint="eastAsia" w:cs="宋体" w:asciiTheme="minorEastAsia" w:hAnsiTheme="minorEastAsia" w:eastAsiaTheme="minorEastAsia"/>
          <w:sz w:val="24"/>
          <w:szCs w:val="24"/>
        </w:rPr>
        <w:t>日下午15:00时。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（三）比选文件获取方式：重钢总医院官网（</w:t>
      </w:r>
      <w:r>
        <w:rPr>
          <w:rFonts w:cs="宋体" w:asciiTheme="minorEastAsia" w:hAnsiTheme="minorEastAsia" w:eastAsiaTheme="minorEastAsia"/>
          <w:sz w:val="24"/>
          <w:szCs w:val="24"/>
        </w:rPr>
        <w:fldChar w:fldCharType="begin"/>
      </w:r>
      <w:r>
        <w:rPr>
          <w:rFonts w:cs="宋体" w:asciiTheme="minorEastAsia" w:hAnsiTheme="minorEastAsia" w:eastAsiaTheme="minorEastAsia"/>
          <w:sz w:val="24"/>
          <w:szCs w:val="24"/>
        </w:rPr>
        <w:instrText xml:space="preserve"> HYPERLINK "http://www.cghospital.com" </w:instrText>
      </w:r>
      <w:r>
        <w:rPr>
          <w:rFonts w:cs="宋体" w:asciiTheme="minorEastAsia" w:hAnsiTheme="minorEastAsia" w:eastAsiaTheme="minorEastAsia"/>
          <w:sz w:val="24"/>
          <w:szCs w:val="24"/>
        </w:rPr>
        <w:fldChar w:fldCharType="separate"/>
      </w:r>
      <w:r>
        <w:rPr>
          <w:rFonts w:cs="宋体" w:asciiTheme="minorEastAsia" w:hAnsiTheme="minorEastAsia" w:eastAsiaTheme="minorEastAsia"/>
          <w:sz w:val="24"/>
          <w:szCs w:val="24"/>
        </w:rPr>
        <w:t>http://www.cghospital.com</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w:t>
      </w:r>
      <w:r>
        <w:rPr>
          <w:rFonts w:hint="eastAsia" w:ascii="宋体" w:hAnsi="宋体" w:cs="宋体"/>
          <w:color w:val="auto"/>
          <w:sz w:val="24"/>
          <w:szCs w:val="24"/>
        </w:rPr>
        <w:t>比选报名：</w:t>
      </w:r>
      <w:r>
        <w:rPr>
          <w:rFonts w:hint="eastAsia" w:ascii="宋体" w:hAnsi="宋体" w:cs="宋体"/>
          <w:b/>
          <w:color w:val="auto"/>
          <w:sz w:val="24"/>
          <w:szCs w:val="24"/>
        </w:rPr>
        <w:t>本项目应在比选截止时间前</w:t>
      </w:r>
      <w:r>
        <w:rPr>
          <w:rFonts w:ascii="宋体" w:hAnsi="宋体" w:cs="宋体"/>
          <w:b/>
          <w:color w:val="auto"/>
          <w:sz w:val="24"/>
          <w:szCs w:val="24"/>
        </w:rPr>
        <w:t>1</w:t>
      </w:r>
      <w:r>
        <w:rPr>
          <w:rFonts w:hint="eastAsia" w:ascii="宋体" w:hAnsi="宋体" w:cs="宋体"/>
          <w:b/>
          <w:color w:val="auto"/>
          <w:sz w:val="24"/>
          <w:szCs w:val="24"/>
        </w:rPr>
        <w:t>天进行报名，报名方式为：</w:t>
      </w:r>
      <w:r>
        <w:rPr>
          <w:color w:val="auto"/>
        </w:rPr>
        <w:fldChar w:fldCharType="begin"/>
      </w:r>
      <w:r>
        <w:rPr>
          <w:color w:val="auto"/>
        </w:rPr>
        <w:instrText xml:space="preserve"> HYPERLINK "mailto:将加盖响应人公章的报名函发送至指定邮箱cgzyyxjzy@163.com" </w:instrText>
      </w:r>
      <w:r>
        <w:rPr>
          <w:color w:val="auto"/>
        </w:rPr>
        <w:fldChar w:fldCharType="separate"/>
      </w:r>
      <w:r>
        <w:rPr>
          <w:rFonts w:hint="eastAsia"/>
          <w:b/>
          <w:color w:val="auto"/>
          <w:sz w:val="24"/>
          <w:szCs w:val="24"/>
        </w:rPr>
        <w:t>将加盖响应人公章的报名函发送至指定邮箱</w:t>
      </w:r>
      <w:r>
        <w:rPr>
          <w:rFonts w:hint="eastAsia"/>
          <w:b/>
          <w:color w:val="auto"/>
          <w:sz w:val="24"/>
          <w:szCs w:val="24"/>
          <w:lang w:val="en-US" w:eastAsia="zh-CN"/>
        </w:rPr>
        <w:t>313948804@QQ</w:t>
      </w:r>
      <w:r>
        <w:rPr>
          <w:b/>
          <w:color w:val="auto"/>
          <w:sz w:val="24"/>
          <w:szCs w:val="24"/>
        </w:rPr>
        <w:t>.com</w:t>
      </w:r>
      <w:r>
        <w:rPr>
          <w:b/>
          <w:color w:val="auto"/>
          <w:sz w:val="24"/>
          <w:szCs w:val="24"/>
        </w:rPr>
        <w:fldChar w:fldCharType="end"/>
      </w:r>
      <w:r>
        <w:rPr>
          <w:rFonts w:hint="eastAsia" w:ascii="宋体" w:hAnsi="宋体" w:cs="宋体"/>
          <w:b/>
          <w:color w:val="auto"/>
          <w:sz w:val="24"/>
          <w:szCs w:val="24"/>
        </w:rPr>
        <w:t>。只有进行报名的单位才具备参选资格</w:t>
      </w:r>
      <w:r>
        <w:rPr>
          <w:rFonts w:hint="eastAsia" w:ascii="宋体" w:hAnsi="宋体" w:cs="宋体"/>
          <w:color w:val="auto"/>
          <w:sz w:val="24"/>
          <w:szCs w:val="24"/>
        </w:rPr>
        <w:t>。</w:t>
      </w:r>
      <w:r>
        <w:rPr>
          <w:rFonts w:hint="eastAsia" w:ascii="宋体" w:hAnsi="宋体" w:cs="宋体"/>
          <w:b/>
          <w:color w:val="auto"/>
          <w:sz w:val="24"/>
          <w:szCs w:val="24"/>
        </w:rPr>
        <w:t>报名函格式自拟。</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（五）响应文件递交截止时间：</w:t>
      </w:r>
      <w:r>
        <w:rPr>
          <w:rFonts w:cs="宋体" w:asciiTheme="minorEastAsia" w:hAnsiTheme="minorEastAsia" w:eastAsiaTheme="minorEastAsia"/>
          <w:sz w:val="24"/>
          <w:szCs w:val="24"/>
        </w:rPr>
        <w:t>2023</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9</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26</w:t>
      </w:r>
      <w:bookmarkStart w:id="3" w:name="_GoBack"/>
      <w:bookmarkEnd w:id="3"/>
      <w:r>
        <w:rPr>
          <w:rFonts w:hint="eastAsia" w:cs="宋体" w:asciiTheme="minorEastAsia" w:hAnsiTheme="minorEastAsia" w:eastAsiaTheme="minorEastAsia"/>
          <w:sz w:val="24"/>
          <w:szCs w:val="24"/>
        </w:rPr>
        <w:t>日下午15:00时。未报名或超过截止时间的恕不接受。（现场递交响应文件）。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（六）响应文件递交方式：重钢总医院办公楼三楼一会议室。</w:t>
      </w:r>
    </w:p>
    <w:p>
      <w:pPr>
        <w:spacing w:line="420" w:lineRule="exact"/>
        <w:ind w:firstLine="480" w:firstLineChars="200"/>
        <w:rPr>
          <w:rFonts w:hint="eastAsia" w:ascii="宋体" w:hAnsi="宋体" w:cs="宋体"/>
          <w:b/>
          <w:bCs/>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20" w:lineRule="exact"/>
        <w:ind w:firstLine="482" w:firstLineChars="200"/>
        <w:rPr>
          <w:rFonts w:ascii="宋体" w:hAnsi="宋体"/>
          <w:sz w:val="24"/>
          <w:szCs w:val="24"/>
        </w:rPr>
      </w:pPr>
      <w:r>
        <w:rPr>
          <w:rFonts w:hint="eastAsia" w:ascii="宋体" w:hAnsi="宋体" w:cs="宋体"/>
          <w:b/>
          <w:bCs/>
          <w:sz w:val="24"/>
          <w:szCs w:val="24"/>
        </w:rPr>
        <w:t>八、联系人</w:t>
      </w:r>
    </w:p>
    <w:p>
      <w:pPr>
        <w:spacing w:line="420" w:lineRule="exact"/>
        <w:ind w:firstLine="480" w:firstLineChars="200"/>
        <w:rPr>
          <w:rFonts w:ascii="宋体" w:hAnsi="宋体"/>
          <w:sz w:val="24"/>
          <w:szCs w:val="24"/>
        </w:rPr>
      </w:pPr>
      <w:r>
        <w:rPr>
          <w:rFonts w:hint="eastAsia" w:ascii="宋体" w:hAnsi="宋体" w:cs="宋体"/>
          <w:sz w:val="24"/>
          <w:szCs w:val="24"/>
        </w:rPr>
        <w:t>比选人：重钢总医院</w:t>
      </w:r>
      <w:r>
        <w:rPr>
          <w:rFonts w:hint="eastAsia" w:ascii="宋体" w:hAnsi="宋体"/>
          <w:sz w:val="24"/>
          <w:szCs w:val="24"/>
        </w:rPr>
        <w:t xml:space="preserve">           </w:t>
      </w:r>
      <w:r>
        <w:rPr>
          <w:rFonts w:hint="eastAsia" w:ascii="宋体" w:hAnsi="宋体" w:cs="宋体"/>
          <w:sz w:val="24"/>
          <w:szCs w:val="24"/>
        </w:rPr>
        <w:t>地址：重庆市大渡口区</w:t>
      </w:r>
    </w:p>
    <w:p>
      <w:pPr>
        <w:spacing w:line="420" w:lineRule="exact"/>
        <w:ind w:firstLine="480" w:firstLineChars="200"/>
        <w:rPr>
          <w:rFonts w:ascii="宋体" w:hAnsi="宋体"/>
          <w:sz w:val="24"/>
          <w:szCs w:val="24"/>
        </w:rPr>
      </w:pPr>
      <w:r>
        <w:rPr>
          <w:rFonts w:hint="eastAsia" w:ascii="宋体" w:hAnsi="宋体" w:cs="宋体"/>
          <w:sz w:val="24"/>
          <w:szCs w:val="24"/>
        </w:rPr>
        <w:t>组织联系人：戚老师</w:t>
      </w:r>
      <w:r>
        <w:rPr>
          <w:rFonts w:hint="eastAsia" w:ascii="宋体" w:hAnsi="宋体"/>
          <w:sz w:val="24"/>
          <w:szCs w:val="24"/>
        </w:rPr>
        <w:t xml:space="preserve">           联系</w:t>
      </w:r>
      <w:r>
        <w:rPr>
          <w:rFonts w:hint="eastAsia" w:ascii="宋体" w:hAnsi="宋体" w:cs="宋体"/>
          <w:sz w:val="24"/>
          <w:szCs w:val="24"/>
        </w:rPr>
        <w:t>电话：</w:t>
      </w:r>
      <w:r>
        <w:rPr>
          <w:rFonts w:ascii="宋体" w:hAnsi="宋体" w:cs="宋体"/>
          <w:sz w:val="24"/>
          <w:szCs w:val="24"/>
        </w:rPr>
        <w:t>023-819150</w:t>
      </w:r>
      <w:r>
        <w:rPr>
          <w:rFonts w:hint="eastAsia" w:ascii="宋体" w:hAnsi="宋体" w:cs="宋体"/>
          <w:sz w:val="24"/>
          <w:szCs w:val="24"/>
        </w:rPr>
        <w:t>3</w:t>
      </w:r>
      <w:r>
        <w:rPr>
          <w:rFonts w:ascii="宋体" w:hAnsi="宋体" w:cs="宋体"/>
          <w:sz w:val="24"/>
          <w:szCs w:val="24"/>
        </w:rPr>
        <w:t xml:space="preserve">1  </w:t>
      </w:r>
    </w:p>
    <w:p>
      <w:pPr>
        <w:spacing w:line="420" w:lineRule="exact"/>
        <w:ind w:firstLine="480" w:firstLineChars="200"/>
        <w:rPr>
          <w:rFonts w:ascii="宋体" w:hAnsi="宋体" w:cs="宋体"/>
          <w:b/>
          <w:bCs/>
          <w:color w:val="000000"/>
          <w:sz w:val="24"/>
          <w:szCs w:val="24"/>
        </w:rPr>
      </w:pPr>
      <w:r>
        <w:rPr>
          <w:rFonts w:hint="eastAsia" w:ascii="宋体" w:hAnsi="宋体" w:cs="宋体"/>
          <w:sz w:val="24"/>
          <w:szCs w:val="24"/>
        </w:rPr>
        <w:t>业务部门联系人：</w:t>
      </w:r>
      <w:r>
        <w:rPr>
          <w:rFonts w:hint="eastAsia" w:cs="宋体" w:asciiTheme="minorEastAsia" w:hAnsiTheme="minorEastAsia" w:eastAsiaTheme="minorEastAsia"/>
          <w:sz w:val="24"/>
          <w:szCs w:val="24"/>
        </w:rPr>
        <w:t>黄老师</w:t>
      </w:r>
      <w:r>
        <w:rPr>
          <w:rFonts w:hint="eastAsia" w:ascii="宋体" w:hAnsi="宋体" w:cs="宋体"/>
          <w:sz w:val="24"/>
          <w:szCs w:val="24"/>
        </w:rPr>
        <w:t xml:space="preserve">      </w:t>
      </w:r>
      <w:r>
        <w:rPr>
          <w:rFonts w:hint="eastAsia" w:ascii="宋体" w:hAnsi="宋体"/>
          <w:sz w:val="24"/>
          <w:szCs w:val="24"/>
        </w:rPr>
        <w:t xml:space="preserve"> 联系电话：</w:t>
      </w:r>
      <w:r>
        <w:rPr>
          <w:rFonts w:hint="eastAsia" w:cs="宋体" w:asciiTheme="minorEastAsia" w:hAnsiTheme="minorEastAsia" w:eastAsiaTheme="minorEastAsia"/>
          <w:sz w:val="24"/>
          <w:szCs w:val="24"/>
        </w:rPr>
        <w:t>0</w:t>
      </w:r>
      <w:r>
        <w:rPr>
          <w:rFonts w:cs="宋体" w:asciiTheme="minorEastAsia" w:hAnsiTheme="minorEastAsia" w:eastAsiaTheme="minorEastAsia"/>
          <w:sz w:val="24"/>
          <w:szCs w:val="24"/>
        </w:rPr>
        <w:t>23-</w:t>
      </w:r>
      <w:r>
        <w:rPr>
          <w:rFonts w:hint="eastAsia" w:cs="宋体" w:asciiTheme="minorEastAsia" w:hAnsiTheme="minorEastAsia" w:eastAsiaTheme="minorEastAsia"/>
          <w:sz w:val="24"/>
          <w:szCs w:val="24"/>
        </w:rPr>
        <w:t>81915049</w:t>
      </w: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hint="eastAsia" w:ascii="宋体" w:hAnsi="宋体" w:cs="宋体"/>
          <w:b/>
          <w:bCs/>
          <w:color w:val="000000"/>
          <w:sz w:val="24"/>
          <w:szCs w:val="24"/>
        </w:rPr>
      </w:pPr>
    </w:p>
    <w:p>
      <w:pPr>
        <w:spacing w:line="420" w:lineRule="exact"/>
        <w:jc w:val="center"/>
        <w:rPr>
          <w:rFonts w:ascii="宋体" w:hAns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20" w:lineRule="exact"/>
        <w:jc w:val="left"/>
        <w:rPr>
          <w:rFonts w:ascii="宋体" w:hAnsi="宋体" w:cs="宋体"/>
          <w:b/>
          <w:bCs/>
          <w:sz w:val="24"/>
          <w:szCs w:val="24"/>
        </w:rPr>
      </w:pP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：重钢总医院影像数据接入市影像云所需设备采购项目</w:t>
      </w:r>
    </w:p>
    <w:p>
      <w:pPr>
        <w:spacing w:line="420" w:lineRule="exact"/>
        <w:ind w:firstLine="482" w:firstLineChars="200"/>
        <w:rPr>
          <w:rFonts w:ascii="宋体" w:hAnsi="宋体"/>
          <w:sz w:val="24"/>
          <w:szCs w:val="24"/>
        </w:rPr>
      </w:pPr>
      <w:r>
        <w:rPr>
          <w:rFonts w:hint="eastAsia" w:ascii="宋体" w:hAnsi="宋体" w:cs="宋体"/>
          <w:b/>
          <w:bCs/>
          <w:sz w:val="24"/>
          <w:szCs w:val="24"/>
        </w:rPr>
        <w:t>二、比选报价、限价、评分说明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80" w:lineRule="exact"/>
        <w:ind w:firstLine="480" w:firstLineChars="200"/>
        <w:rPr>
          <w:rFonts w:ascii="宋体" w:hAnsi="宋体" w:cs="宋体"/>
          <w:sz w:val="24"/>
          <w:szCs w:val="24"/>
        </w:rPr>
      </w:pPr>
      <w:r>
        <w:rPr>
          <w:rFonts w:hint="eastAsia" w:ascii="宋体" w:hAnsi="宋体" w:cs="宋体"/>
          <w:sz w:val="24"/>
          <w:szCs w:val="24"/>
        </w:rPr>
        <w:t>响应文件中仅存在唯一报价，以总价报价的形式进行报价，报价单位为元，报价最多保留小数点后两位。本项目实行总价包干的原则，在项目实施过程中中选人不得以任何理由增加本比选项目的费用，响应人自行考虑各种风险。响应人报价包含测评软、硬件工具、测评环境搭建、人工费等所有费用。</w:t>
      </w:r>
      <w:r>
        <w:rPr>
          <w:rFonts w:ascii="宋体" w:hAnsi="宋体" w:cs="宋体"/>
          <w:sz w:val="24"/>
          <w:szCs w:val="24"/>
        </w:rPr>
        <w:t>大写金额与小写金额不一致的，以大写金额为准</w:t>
      </w:r>
      <w:r>
        <w:rPr>
          <w:rFonts w:hint="eastAsia" w:ascii="宋体" w:hAnsi="宋体" w:cs="宋体"/>
          <w:sz w:val="24"/>
          <w:szCs w:val="24"/>
        </w:rPr>
        <w:t>。</w:t>
      </w:r>
      <w:r>
        <w:rPr>
          <w:rFonts w:ascii="宋体" w:hAnsi="宋体" w:cs="宋体"/>
          <w:sz w:val="24"/>
          <w:szCs w:val="24"/>
        </w:rPr>
        <w:t>合同签订后原则上比选人不做费用调整。</w:t>
      </w:r>
    </w:p>
    <w:p>
      <w:pPr>
        <w:numPr>
          <w:ilvl w:val="0"/>
          <w:numId w:val="1"/>
        </w:numPr>
        <w:spacing w:line="420" w:lineRule="exact"/>
        <w:ind w:firstLine="480" w:firstLineChars="200"/>
        <w:rPr>
          <w:rFonts w:ascii="宋体" w:hAnsi="宋体" w:cs="宋体"/>
          <w:sz w:val="24"/>
          <w:szCs w:val="24"/>
        </w:rPr>
      </w:pPr>
      <w:r>
        <w:rPr>
          <w:rFonts w:hint="eastAsia" w:ascii="宋体" w:hAnsi="宋体" w:cs="宋体"/>
          <w:sz w:val="24"/>
          <w:szCs w:val="24"/>
        </w:rPr>
        <w:t>限价说明：本项目</w:t>
      </w:r>
      <w:r>
        <w:rPr>
          <w:rFonts w:hint="eastAsia" w:ascii="宋体" w:hAnsi="宋体" w:cs="宋体"/>
          <w:sz w:val="24"/>
          <w:szCs w:val="24"/>
          <w:lang w:eastAsia="zh-CN"/>
        </w:rPr>
        <w:t>总价限价为各单项报价之和，各单项报价不得高于各单项限价</w:t>
      </w:r>
      <w:r>
        <w:rPr>
          <w:rFonts w:hint="eastAsia" w:ascii="宋体" w:hAnsi="宋体" w:cs="宋体"/>
          <w:sz w:val="24"/>
          <w:szCs w:val="24"/>
        </w:rPr>
        <w:t>，总价最高限价为人民币</w:t>
      </w:r>
      <w:r>
        <w:rPr>
          <w:rFonts w:hint="eastAsia" w:ascii="宋体" w:hAnsi="宋体" w:cs="宋体"/>
          <w:sz w:val="24"/>
          <w:szCs w:val="24"/>
          <w:u w:val="single"/>
        </w:rPr>
        <w:t xml:space="preserve">  </w:t>
      </w:r>
      <w:r>
        <w:rPr>
          <w:rFonts w:ascii="宋体" w:hAnsi="宋体" w:cs="宋体"/>
          <w:sz w:val="24"/>
          <w:szCs w:val="24"/>
          <w:u w:val="single"/>
        </w:rPr>
        <w:t>266600</w:t>
      </w:r>
      <w:r>
        <w:rPr>
          <w:rFonts w:hint="eastAsia" w:ascii="宋体" w:hAnsi="宋体" w:cs="宋体"/>
          <w:sz w:val="24"/>
          <w:szCs w:val="24"/>
          <w:u w:val="single"/>
        </w:rPr>
        <w:t xml:space="preserve">  </w:t>
      </w:r>
      <w:r>
        <w:rPr>
          <w:rFonts w:hint="eastAsia" w:ascii="宋体" w:hAnsi="宋体" w:cs="宋体"/>
          <w:sz w:val="24"/>
          <w:szCs w:val="24"/>
        </w:rPr>
        <w:t>元，响应人的报价不得超过对应的最高限价，否则，视为无效。</w:t>
      </w:r>
    </w:p>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只有资格审查及符合性审查合格的响应人才能继续参与评审。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（1）资格审查</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255"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检查因素</w:t>
            </w:r>
          </w:p>
        </w:tc>
        <w:tc>
          <w:tcPr>
            <w:tcW w:w="5490"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09" w:type="dxa"/>
            <w:vMerge w:val="restart"/>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响应人应符合的基本资格条件</w:t>
            </w: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（1）具有独立承担民事责任的能力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 xml:space="preserve">响应人法人营业执照（副本）或事业单位法人证书（副本）或个体工商户营业执照或有效的自然人身份证明； </w:t>
            </w:r>
          </w:p>
          <w:p>
            <w:pPr>
              <w:spacing w:line="320" w:lineRule="exact"/>
              <w:rPr>
                <w:rFonts w:asciiTheme="minorEastAsia" w:hAnsiTheme="minorEastAsia" w:eastAsiaTheme="minorEastAsia"/>
              </w:rPr>
            </w:pPr>
            <w:r>
              <w:rPr>
                <w:rFonts w:hint="eastAsia" w:asciiTheme="minorEastAsia" w:hAnsiTheme="minorEastAsia" w:eastAsiaTheme="minorEastAsia"/>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（2）具有履行合同所必需的设备和专业技术能力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（3）参加政府采购活动前三年内，在经营活动中没有重大违法记录</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1.响应人提供书面声明（见格式文件）；</w:t>
            </w:r>
          </w:p>
          <w:p>
            <w:pPr>
              <w:spacing w:line="320" w:lineRule="exact"/>
              <w:jc w:val="left"/>
              <w:rPr>
                <w:rFonts w:asciiTheme="minorEastAsia" w:hAnsiTheme="minorEastAsia" w:eastAsiaTheme="minorEastAsia"/>
                <w:b/>
              </w:rPr>
            </w:pPr>
            <w:r>
              <w:rPr>
                <w:rFonts w:hint="eastAsia" w:asciiTheme="minorEastAsia" w:hAnsiTheme="minorEastAsia" w:eastAsiaTheme="minor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（4）法律、行政法规规定的其他条件</w:t>
            </w:r>
          </w:p>
        </w:tc>
        <w:tc>
          <w:tcPr>
            <w:tcW w:w="5490" w:type="dxa"/>
            <w:vAlign w:val="center"/>
          </w:tcPr>
          <w:p>
            <w:pPr>
              <w:spacing w:line="32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3255" w:type="dxa"/>
            <w:gridSpan w:val="2"/>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其它资格条件</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符合特定资格要求、不接受联合体参与。</w:t>
            </w:r>
          </w:p>
        </w:tc>
      </w:tr>
    </w:tbl>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（2）符合性审查</w:t>
      </w:r>
    </w:p>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评审小组应当对符合资格的响应人的响应文件进行符合性审查，以确定其是否满足比选文件的实质性要求。符合性审查资料表如下：</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3"/>
        <w:gridCol w:w="1753"/>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546"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评审因素</w:t>
            </w:r>
          </w:p>
        </w:tc>
        <w:tc>
          <w:tcPr>
            <w:tcW w:w="5108"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1793" w:type="dxa"/>
            <w:vMerge w:val="restart"/>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有效性审查</w:t>
            </w:r>
          </w:p>
        </w:tc>
        <w:tc>
          <w:tcPr>
            <w:tcW w:w="1753"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响应文件签署</w:t>
            </w:r>
          </w:p>
        </w:tc>
        <w:tc>
          <w:tcPr>
            <w:tcW w:w="5108"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响应方案</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793" w:type="dxa"/>
            <w:vMerge w:val="continue"/>
            <w:vAlign w:val="center"/>
          </w:tcPr>
          <w:p>
            <w:pPr>
              <w:spacing w:line="320" w:lineRule="exact"/>
              <w:rPr>
                <w:rFonts w:cs="宋体" w:asciiTheme="minorEastAsia" w:hAnsiTheme="minorEastAsia" w:eastAsiaTheme="minorEastAsia"/>
                <w:kern w:val="0"/>
              </w:rPr>
            </w:pPr>
          </w:p>
        </w:tc>
        <w:tc>
          <w:tcPr>
            <w:tcW w:w="1753"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报价唯一</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只能在预算金额和最高限价内报价，</w:t>
            </w:r>
            <w:r>
              <w:rPr>
                <w:rFonts w:hint="eastAsia" w:asciiTheme="minorEastAsia" w:hAnsiTheme="minorEastAsia" w:eastAsiaTheme="minorEastAsia"/>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完整性审查</w:t>
            </w:r>
          </w:p>
        </w:tc>
        <w:tc>
          <w:tcPr>
            <w:tcW w:w="1753"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响应文件份数</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rPr>
              <w:t>响应</w:t>
            </w:r>
            <w:r>
              <w:rPr>
                <w:rFonts w:hint="eastAsia" w:cs="仿宋_GB2312" w:asciiTheme="minorEastAsia" w:hAnsiTheme="minorEastAsia" w:eastAsiaTheme="minorEastAsia"/>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1793"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技术标准和要求</w:t>
            </w:r>
          </w:p>
        </w:tc>
        <w:tc>
          <w:tcPr>
            <w:tcW w:w="1753"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响应文件内容</w:t>
            </w:r>
          </w:p>
        </w:tc>
        <w:tc>
          <w:tcPr>
            <w:tcW w:w="5108" w:type="dxa"/>
            <w:vAlign w:val="center"/>
          </w:tcPr>
          <w:p>
            <w:pPr>
              <w:spacing w:line="320" w:lineRule="exact"/>
              <w:rPr>
                <w:rFonts w:cs="仿宋_GB2312" w:asciiTheme="minorEastAsia" w:hAnsiTheme="minorEastAsia" w:eastAsiaTheme="minorEastAsia"/>
              </w:rPr>
            </w:pPr>
            <w:r>
              <w:rPr>
                <w:rFonts w:hint="eastAsia" w:cs="仿宋_GB2312" w:asciiTheme="minorEastAsia" w:hAnsiTheme="minorEastAsia" w:eastAsiaTheme="minorEastAsia"/>
              </w:rPr>
              <w:t>响应</w:t>
            </w:r>
            <w:r>
              <w:rPr>
                <w:rFonts w:hint="eastAsia" w:cs="宋体" w:asciiTheme="minorEastAsia" w:hAnsiTheme="minorEastAsia" w:eastAsiaTheme="minorEastAsia"/>
                <w:kern w:val="0"/>
              </w:rPr>
              <w:t>比选文件中规定的内容。</w:t>
            </w:r>
          </w:p>
        </w:tc>
      </w:tr>
    </w:tbl>
    <w:p>
      <w:pPr>
        <w:spacing w:line="400" w:lineRule="exact"/>
        <w:ind w:firstLine="360" w:firstLineChars="150"/>
        <w:rPr>
          <w:rFonts w:cs="宋体" w:asciiTheme="minorEastAsia" w:hAnsiTheme="minorEastAsia" w:eastAsiaTheme="minorEastAsia"/>
          <w:sz w:val="24"/>
          <w:szCs w:val="24"/>
        </w:rPr>
      </w:pPr>
      <w:r>
        <w:rPr>
          <w:rFonts w:hint="eastAsia" w:ascii="宋体" w:hAnsi="宋体" w:cs="宋体"/>
          <w:sz w:val="24"/>
          <w:szCs w:val="24"/>
        </w:rPr>
        <w:t>（3）</w:t>
      </w:r>
      <w:r>
        <w:rPr>
          <w:rFonts w:hint="eastAsia" w:cs="宋体" w:asciiTheme="minorEastAsia" w:hAnsiTheme="minorEastAsia" w:eastAsiaTheme="minorEastAsia"/>
          <w:sz w:val="24"/>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pPr>
        <w:spacing w:line="420" w:lineRule="exact"/>
        <w:ind w:firstLine="480" w:firstLineChars="200"/>
        <w:rPr>
          <w:rFonts w:ascii="宋体" w:hAnsi="宋体" w:cs="方正仿宋_GB2312"/>
          <w:sz w:val="24"/>
          <w:szCs w:val="24"/>
        </w:rPr>
      </w:pPr>
      <w:r>
        <w:rPr>
          <w:rFonts w:ascii="宋体" w:hAnsi="宋体" w:cs="宋体"/>
          <w:sz w:val="24"/>
          <w:szCs w:val="24"/>
        </w:rPr>
        <w:t>2</w:t>
      </w:r>
      <w:r>
        <w:rPr>
          <w:rFonts w:hint="eastAsia" w:ascii="宋体" w:hAnsi="宋体" w:cs="宋体"/>
          <w:sz w:val="24"/>
          <w:szCs w:val="24"/>
        </w:rPr>
        <w:t>．评审原则：综合评分法。</w:t>
      </w:r>
      <w:r>
        <w:rPr>
          <w:rFonts w:hint="eastAsia" w:ascii="宋体" w:hAnsi="宋体" w:cs="方正仿宋_GB2312"/>
          <w:kern w:val="0"/>
          <w:sz w:val="24"/>
          <w:szCs w:val="24"/>
        </w:rPr>
        <w:t>是指响应文件满足竞争性比选文件全部实质性要求且按照评审因素的量化指标评审得分最高的供应商为成交候选供应商的评审方法。供</w:t>
      </w:r>
      <w:r>
        <w:rPr>
          <w:rFonts w:hint="eastAsia" w:ascii="宋体" w:hAnsi="宋体" w:cs="方正仿宋_GB2312"/>
          <w:sz w:val="24"/>
          <w:szCs w:val="24"/>
        </w:rPr>
        <w:t>应商总得分为价格、服务、商务等评定因素分别按照相应权重值计算分项得分后相加，满分为100分。</w:t>
      </w:r>
      <w:r>
        <w:rPr>
          <w:rFonts w:hint="eastAsia" w:ascii="宋体" w:hAnsi="宋体" w:cs="宋体"/>
          <w:sz w:val="24"/>
          <w:szCs w:val="24"/>
        </w:rPr>
        <w:t>（详见评审标准）</w:t>
      </w:r>
    </w:p>
    <w:p>
      <w:pPr>
        <w:spacing w:line="420" w:lineRule="exact"/>
        <w:ind w:firstLine="480" w:firstLineChars="200"/>
      </w:pPr>
      <w:r>
        <w:rPr>
          <w:rFonts w:hint="eastAsia" w:ascii="宋体" w:hAnsi="宋体" w:cs="方正仿宋_GB2312"/>
          <w:sz w:val="24"/>
          <w:szCs w:val="24"/>
        </w:rPr>
        <w:t xml:space="preserve">3．比选小组各成员独立对每个有效响应（通过资格性审查、符合性审查的供应商）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服务部分得分为0分的供应商不得成为成交候选供应商。 </w:t>
      </w:r>
    </w:p>
    <w:p>
      <w:pPr>
        <w:pStyle w:val="5"/>
        <w:jc w:val="center"/>
        <w:rPr>
          <w:sz w:val="24"/>
          <w:szCs w:val="24"/>
        </w:rPr>
      </w:pPr>
    </w:p>
    <w:p>
      <w:pPr>
        <w:pStyle w:val="5"/>
        <w:jc w:val="center"/>
        <w:rPr>
          <w:sz w:val="24"/>
          <w:szCs w:val="24"/>
        </w:rPr>
      </w:pPr>
      <w:r>
        <w:rPr>
          <w:rFonts w:hint="eastAsia"/>
          <w:sz w:val="24"/>
          <w:szCs w:val="24"/>
        </w:rPr>
        <w:t>评审标准</w:t>
      </w:r>
    </w:p>
    <w:tbl>
      <w:tblPr>
        <w:tblStyle w:val="11"/>
        <w:tblW w:w="973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709"/>
        <w:gridCol w:w="5387"/>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ind w:firstLine="28"/>
              <w:jc w:val="center"/>
              <w:rPr>
                <w:rFonts w:ascii="宋体" w:hAnsi="宋体"/>
                <w:b/>
                <w:color w:val="000000"/>
              </w:rPr>
            </w:pPr>
            <w:r>
              <w:rPr>
                <w:rFonts w:ascii="宋体" w:hAnsi="宋体"/>
                <w:b/>
                <w:color w:val="000000"/>
              </w:rPr>
              <w:t>序号</w:t>
            </w:r>
          </w:p>
        </w:tc>
        <w:tc>
          <w:tcPr>
            <w:tcW w:w="1134" w:type="dxa"/>
            <w:vAlign w:val="center"/>
          </w:tcPr>
          <w:p>
            <w:pPr>
              <w:ind w:firstLine="28"/>
              <w:jc w:val="center"/>
              <w:rPr>
                <w:rFonts w:ascii="宋体" w:hAnsi="宋体"/>
                <w:b/>
                <w:color w:val="000000"/>
              </w:rPr>
            </w:pPr>
            <w:r>
              <w:rPr>
                <w:rFonts w:ascii="宋体" w:hAnsi="宋体"/>
                <w:b/>
                <w:color w:val="000000"/>
              </w:rPr>
              <w:t>评分因素及权值</w:t>
            </w:r>
          </w:p>
        </w:tc>
        <w:tc>
          <w:tcPr>
            <w:tcW w:w="709" w:type="dxa"/>
            <w:vAlign w:val="center"/>
          </w:tcPr>
          <w:p>
            <w:pPr>
              <w:ind w:firstLine="28"/>
              <w:jc w:val="center"/>
              <w:rPr>
                <w:rFonts w:ascii="宋体" w:hAnsi="宋体"/>
                <w:b/>
                <w:color w:val="000000"/>
              </w:rPr>
            </w:pPr>
            <w:r>
              <w:rPr>
                <w:rFonts w:ascii="宋体" w:hAnsi="宋体"/>
                <w:b/>
                <w:color w:val="000000"/>
              </w:rPr>
              <w:t>分值</w:t>
            </w:r>
          </w:p>
        </w:tc>
        <w:tc>
          <w:tcPr>
            <w:tcW w:w="5387" w:type="dxa"/>
            <w:vAlign w:val="center"/>
          </w:tcPr>
          <w:p>
            <w:pPr>
              <w:ind w:firstLine="28"/>
              <w:jc w:val="center"/>
              <w:rPr>
                <w:rFonts w:ascii="宋体" w:hAnsi="宋体"/>
                <w:b/>
                <w:color w:val="000000"/>
              </w:rPr>
            </w:pPr>
            <w:r>
              <w:rPr>
                <w:rFonts w:ascii="宋体" w:hAnsi="宋体"/>
                <w:b/>
                <w:color w:val="000000"/>
              </w:rPr>
              <w:t>评分标准</w:t>
            </w:r>
          </w:p>
        </w:tc>
        <w:tc>
          <w:tcPr>
            <w:tcW w:w="1831" w:type="dxa"/>
            <w:vAlign w:val="center"/>
          </w:tcPr>
          <w:p>
            <w:pPr>
              <w:pStyle w:val="16"/>
              <w:spacing w:before="0" w:after="0" w:line="240" w:lineRule="auto"/>
              <w:rPr>
                <w:rFonts w:ascii="宋体" w:hAnsi="宋体" w:eastAsia="宋体"/>
                <w:color w:val="000000"/>
                <w:sz w:val="21"/>
                <w:szCs w:val="21"/>
              </w:rPr>
            </w:pPr>
            <w:r>
              <w:rPr>
                <w:rFonts w:ascii="宋体" w:hAnsi="宋体" w:eastAsia="宋体"/>
                <w:color w:val="00000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Align w:val="center"/>
          </w:tcPr>
          <w:p>
            <w:pPr>
              <w:ind w:firstLine="28"/>
              <w:jc w:val="center"/>
              <w:rPr>
                <w:rFonts w:ascii="宋体" w:hAnsi="宋体"/>
                <w:color w:val="000000"/>
              </w:rPr>
            </w:pPr>
            <w:r>
              <w:rPr>
                <w:rFonts w:ascii="宋体" w:hAnsi="宋体"/>
                <w:color w:val="000000"/>
              </w:rPr>
              <w:t>1</w:t>
            </w:r>
          </w:p>
        </w:tc>
        <w:tc>
          <w:tcPr>
            <w:tcW w:w="1134" w:type="dxa"/>
            <w:vAlign w:val="center"/>
          </w:tcPr>
          <w:p>
            <w:pPr>
              <w:ind w:firstLine="28"/>
              <w:jc w:val="center"/>
              <w:rPr>
                <w:rFonts w:ascii="宋体" w:hAnsi="宋体"/>
                <w:color w:val="000000"/>
              </w:rPr>
            </w:pPr>
            <w:r>
              <w:rPr>
                <w:rFonts w:hint="eastAsia" w:ascii="宋体" w:hAnsi="宋体"/>
                <w:color w:val="000000"/>
              </w:rPr>
              <w:t>比选</w:t>
            </w:r>
            <w:r>
              <w:rPr>
                <w:rFonts w:ascii="宋体" w:hAnsi="宋体"/>
                <w:color w:val="000000"/>
              </w:rPr>
              <w:t>报价</w:t>
            </w:r>
          </w:p>
          <w:p>
            <w:pPr>
              <w:ind w:firstLine="28"/>
              <w:jc w:val="center"/>
              <w:rPr>
                <w:rFonts w:ascii="宋体" w:hAnsi="宋体"/>
                <w:color w:val="000000"/>
              </w:rPr>
            </w:pPr>
            <w:r>
              <w:rPr>
                <w:rFonts w:ascii="宋体" w:hAnsi="宋体"/>
                <w:color w:val="000000"/>
              </w:rPr>
              <w:t>（25%）</w:t>
            </w:r>
          </w:p>
        </w:tc>
        <w:tc>
          <w:tcPr>
            <w:tcW w:w="709" w:type="dxa"/>
            <w:vAlign w:val="center"/>
          </w:tcPr>
          <w:p>
            <w:pPr>
              <w:ind w:firstLine="28"/>
              <w:jc w:val="center"/>
              <w:rPr>
                <w:rFonts w:ascii="宋体" w:hAnsi="宋体"/>
                <w:color w:val="000000"/>
              </w:rPr>
            </w:pPr>
            <w:r>
              <w:rPr>
                <w:rFonts w:ascii="宋体" w:hAnsi="宋体"/>
                <w:color w:val="000000"/>
              </w:rPr>
              <w:t>25</w:t>
            </w:r>
            <w:r>
              <w:rPr>
                <w:rFonts w:hint="eastAsia" w:ascii="宋体" w:hAnsi="宋体"/>
                <w:color w:val="000000"/>
              </w:rPr>
              <w:t>分</w:t>
            </w:r>
          </w:p>
        </w:tc>
        <w:tc>
          <w:tcPr>
            <w:tcW w:w="5387" w:type="dxa"/>
            <w:vAlign w:val="center"/>
          </w:tcPr>
          <w:p>
            <w:pPr>
              <w:widowControl/>
              <w:jc w:val="left"/>
              <w:textAlignment w:val="center"/>
            </w:pPr>
            <w:r>
              <w:t>有效的比选报价中的算数平均值为评审基准价</w:t>
            </w:r>
          </w:p>
          <w:p>
            <w:pPr>
              <w:widowControl/>
              <w:jc w:val="left"/>
              <w:textAlignment w:val="center"/>
            </w:pPr>
            <w:r>
              <w:t>以上计算取小数点后两位，小数点后第三位四舍五入。</w:t>
            </w:r>
          </w:p>
          <w:p>
            <w:pPr>
              <w:widowControl/>
              <w:jc w:val="left"/>
              <w:textAlignment w:val="center"/>
            </w:pPr>
            <w:r>
              <w:t>比选报价得分</w:t>
            </w:r>
            <w:r>
              <w:rPr>
                <w:rFonts w:hint="eastAsia"/>
              </w:rPr>
              <w:t>=</w:t>
            </w:r>
            <w:r>
              <w:rPr>
                <w:rFonts w:hint="eastAsia"/>
              </w:rPr>
              <w:object>
                <v:shape id="_x0000_i1025" o:spt="75" type="#_x0000_t75" style="height:35.25pt;width:197.25pt;" o:ole="t" filled="f" o:preferrelative="t" stroked="f" coordsize="21600,21600">
                  <v:path/>
                  <v:fill on="f" focussize="0,0"/>
                  <v:stroke on="f" joinstyle="miter"/>
                  <v:imagedata r:id="rId10" o:title=""/>
                  <o:lock v:ext="edit" aspectratio="t"/>
                  <w10:wrap type="none"/>
                  <w10:anchorlock/>
                </v:shape>
                <o:OLEObject Type="Embed" ProgID="Equation.KSEE3" ShapeID="_x0000_i1025" DrawAspect="Content" ObjectID="_1468075725" r:id="rId9">
                  <o:LockedField>false</o:LockedField>
                </o:OLEObject>
              </w:object>
            </w:r>
          </w:p>
          <w:p>
            <w:pPr>
              <w:rPr>
                <w:rFonts w:ascii="宋体" w:hAnsi="宋体"/>
                <w:color w:val="000000"/>
              </w:rPr>
            </w:pPr>
          </w:p>
        </w:tc>
        <w:tc>
          <w:tcPr>
            <w:tcW w:w="1831" w:type="dxa"/>
            <w:vAlign w:val="center"/>
          </w:tcPr>
          <w:p>
            <w:pPr>
              <w:ind w:left="-38"/>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6" w:hRule="atLeast"/>
        </w:trPr>
        <w:tc>
          <w:tcPr>
            <w:tcW w:w="675" w:type="dxa"/>
            <w:vAlign w:val="center"/>
          </w:tcPr>
          <w:p>
            <w:pPr>
              <w:ind w:firstLine="28"/>
              <w:jc w:val="center"/>
              <w:rPr>
                <w:rFonts w:ascii="宋体" w:hAnsi="宋体"/>
                <w:color w:val="000000"/>
              </w:rPr>
            </w:pPr>
            <w:r>
              <w:rPr>
                <w:rFonts w:hint="eastAsia" w:ascii="宋体" w:hAnsi="宋体"/>
                <w:color w:val="000000"/>
              </w:rPr>
              <w:t>2</w:t>
            </w:r>
          </w:p>
        </w:tc>
        <w:tc>
          <w:tcPr>
            <w:tcW w:w="1134" w:type="dxa"/>
            <w:vAlign w:val="center"/>
          </w:tcPr>
          <w:p>
            <w:pPr>
              <w:ind w:firstLine="28"/>
              <w:jc w:val="center"/>
              <w:rPr>
                <w:rFonts w:ascii="宋体" w:hAnsi="宋体"/>
                <w:color w:val="000000"/>
              </w:rPr>
            </w:pPr>
            <w:r>
              <w:rPr>
                <w:rFonts w:hint="eastAsia" w:ascii="宋体" w:hAnsi="宋体"/>
                <w:color w:val="000000"/>
              </w:rPr>
              <w:t>技术部分（</w:t>
            </w:r>
            <w:r>
              <w:rPr>
                <w:rFonts w:ascii="宋体" w:hAnsi="宋体"/>
                <w:color w:val="000000"/>
              </w:rPr>
              <w:t>5</w:t>
            </w:r>
            <w:r>
              <w:rPr>
                <w:rFonts w:hint="eastAsia" w:ascii="宋体" w:hAnsi="宋体"/>
                <w:color w:val="000000"/>
              </w:rPr>
              <w:t>5</w:t>
            </w:r>
            <w:r>
              <w:rPr>
                <w:rFonts w:ascii="宋体" w:hAnsi="宋体"/>
                <w:color w:val="000000"/>
              </w:rPr>
              <w:t>%</w:t>
            </w:r>
            <w:r>
              <w:rPr>
                <w:rFonts w:hint="eastAsia" w:ascii="宋体" w:hAnsi="宋体"/>
                <w:color w:val="000000"/>
              </w:rPr>
              <w:t>）</w:t>
            </w:r>
          </w:p>
        </w:tc>
        <w:tc>
          <w:tcPr>
            <w:tcW w:w="709" w:type="dxa"/>
            <w:vAlign w:val="center"/>
          </w:tcPr>
          <w:p>
            <w:pPr>
              <w:ind w:firstLine="28"/>
              <w:jc w:val="center"/>
              <w:rPr>
                <w:rFonts w:ascii="宋体" w:hAnsi="宋体"/>
                <w:color w:val="000000"/>
              </w:rPr>
            </w:pPr>
            <w:r>
              <w:rPr>
                <w:rFonts w:ascii="宋体" w:hAnsi="宋体"/>
                <w:color w:val="000000"/>
              </w:rPr>
              <w:t>55</w:t>
            </w:r>
            <w:r>
              <w:rPr>
                <w:rFonts w:hint="eastAsia" w:ascii="宋体" w:hAnsi="宋体"/>
                <w:color w:val="000000"/>
              </w:rPr>
              <w:t>分</w:t>
            </w:r>
          </w:p>
        </w:tc>
        <w:tc>
          <w:tcPr>
            <w:tcW w:w="5387" w:type="dxa"/>
            <w:vAlign w:val="center"/>
          </w:tcPr>
          <w:p>
            <w:pPr>
              <w:rPr>
                <w:rFonts w:asciiTheme="minorEastAsia" w:hAnsiTheme="minorEastAsia" w:eastAsiaTheme="minorEastAsia"/>
              </w:rPr>
            </w:pPr>
            <w:r>
              <w:rPr>
                <w:rFonts w:hint="eastAsia" w:asciiTheme="minorEastAsia" w:hAnsiTheme="minorEastAsia" w:eastAsiaTheme="minorEastAsia"/>
              </w:rPr>
              <w:t>1、响应人应对每件货物要求的每条技术指标逐一应对。</w:t>
            </w:r>
            <w:r>
              <w:rPr>
                <w:rFonts w:hint="eastAsia" w:asciiTheme="minorEastAsia" w:hAnsiTheme="minorEastAsia" w:eastAsiaTheme="minorEastAsia"/>
              </w:rPr>
              <w:br w:type="textWrapping"/>
            </w:r>
            <w:r>
              <w:rPr>
                <w:rFonts w:hint="eastAsia" w:asciiTheme="minorEastAsia" w:hAnsiTheme="minorEastAsia" w:eastAsiaTheme="minorEastAsia"/>
              </w:rPr>
              <w:t>2、对★号参数，响应人自认为“满足”、“无偏离”或“正偏离”的技术指标必须提供相关证明材料。响应人未能提供有效证明的，该条技术指标应认定为不满足。</w:t>
            </w:r>
            <w:r>
              <w:rPr>
                <w:rFonts w:hint="eastAsia" w:asciiTheme="minorEastAsia" w:hAnsiTheme="minorEastAsia" w:eastAsiaTheme="minorEastAsia"/>
              </w:rPr>
              <w:br w:type="textWrapping"/>
            </w:r>
            <w:r>
              <w:rPr>
                <w:rFonts w:hint="eastAsia" w:asciiTheme="minorEastAsia" w:hAnsiTheme="minorEastAsia" w:eastAsiaTheme="minorEastAsia"/>
              </w:rPr>
              <w:t>3、为方便评审小组对照查阅，★号参数应在响应文件中进行明确标注，不允许以“...页至...页”的方式进行模糊描述。</w:t>
            </w:r>
            <w:r>
              <w:rPr>
                <w:rFonts w:hint="eastAsia" w:asciiTheme="minorEastAsia" w:hAnsiTheme="minorEastAsia" w:eastAsiaTheme="minorEastAsia"/>
              </w:rPr>
              <w:br w:type="textWrapping"/>
            </w:r>
            <w:r>
              <w:rPr>
                <w:rFonts w:hint="eastAsia" w:asciiTheme="minorEastAsia" w:hAnsiTheme="minorEastAsia" w:eastAsiaTheme="minorEastAsia"/>
              </w:rPr>
              <w:t>4、响应人应在响应文件中写明提供产品的型号，未写明型号的设备视为不满足。</w:t>
            </w:r>
            <w:r>
              <w:rPr>
                <w:rFonts w:hint="eastAsia" w:asciiTheme="minorEastAsia" w:hAnsiTheme="minorEastAsia" w:eastAsiaTheme="minorEastAsia"/>
              </w:rPr>
              <w:br w:type="textWrapping"/>
            </w:r>
            <w:r>
              <w:rPr>
                <w:rFonts w:hint="eastAsia" w:asciiTheme="minorEastAsia" w:hAnsiTheme="minorEastAsia" w:eastAsiaTheme="minorEastAsia"/>
              </w:rPr>
              <w:t>5、响应人所提供的产品品牌档次明显低于推荐品牌档次的，或不符合相关政策法规的，或不符合业主安全管理规范的，或与比选方现有系统体系不融合的，专家现场可认定该设备技术指标均为不满足。</w:t>
            </w:r>
          </w:p>
          <w:p>
            <w:pPr>
              <w:snapToGrid w:val="0"/>
              <w:spacing w:line="340" w:lineRule="exact"/>
              <w:ind w:firstLine="420" w:firstLineChars="200"/>
              <w:rPr>
                <w:rFonts w:ascii="宋体" w:hAnsi="宋体"/>
                <w:color w:val="000000"/>
              </w:rPr>
            </w:pPr>
            <w:r>
              <w:rPr>
                <w:rFonts w:hint="eastAsia" w:asciiTheme="minorEastAsia" w:hAnsiTheme="minorEastAsia" w:eastAsiaTheme="minorEastAsia"/>
              </w:rPr>
              <w:t>所有参数完全满足比选文件要求得5</w:t>
            </w:r>
            <w:r>
              <w:rPr>
                <w:rFonts w:asciiTheme="minorEastAsia" w:hAnsiTheme="minorEastAsia" w:eastAsiaTheme="minorEastAsia"/>
              </w:rPr>
              <w:t>5</w:t>
            </w:r>
            <w:r>
              <w:rPr>
                <w:rFonts w:hint="eastAsia" w:asciiTheme="minorEastAsia" w:hAnsiTheme="minorEastAsia" w:eastAsiaTheme="minorEastAsia"/>
              </w:rPr>
              <w:t>分，设备技术参数要求中带“★”号的参数为关键技术参数，一条不满足将作废标处理；任何一项带</w:t>
            </w:r>
            <w:r>
              <w:rPr>
                <w:rFonts w:hint="eastAsia" w:ascii="宋体" w:hAnsi="宋体" w:cs="宋体"/>
                <w:kern w:val="0"/>
              </w:rPr>
              <w:t>▲为重要技术参数，一项不满足将扣5分；</w:t>
            </w:r>
            <w:r>
              <w:rPr>
                <w:rFonts w:hint="eastAsia" w:asciiTheme="minorEastAsia" w:hAnsiTheme="minorEastAsia" w:eastAsiaTheme="minorEastAsia"/>
              </w:rPr>
              <w:t>任何一项低于比选文件非</w:t>
            </w:r>
            <w:r>
              <w:rPr>
                <w:rFonts w:hint="eastAsia" w:ascii="宋体" w:hAnsi="宋体" w:cs="宋体"/>
                <w:kern w:val="0"/>
              </w:rPr>
              <w:t>▲或</w:t>
            </w:r>
            <w:r>
              <w:rPr>
                <w:rFonts w:hint="eastAsia" w:asciiTheme="minorEastAsia" w:hAnsiTheme="minorEastAsia" w:eastAsiaTheme="minorEastAsia"/>
              </w:rPr>
              <w:t>非</w:t>
            </w:r>
            <w:r>
              <w:rPr>
                <w:rFonts w:hint="eastAsia" w:ascii="宋体" w:hAnsi="宋体" w:cs="宋体"/>
                <w:bCs/>
                <w:kern w:val="0"/>
              </w:rPr>
              <w:t>★</w:t>
            </w:r>
            <w:r>
              <w:rPr>
                <w:rFonts w:hint="eastAsia" w:asciiTheme="minorEastAsia" w:hAnsiTheme="minorEastAsia" w:eastAsiaTheme="minorEastAsia"/>
              </w:rPr>
              <w:t>号要求的，每项扣3分，扣完为止。响应人虚假参选按作废处理并承担相应的法律责任。</w:t>
            </w:r>
          </w:p>
        </w:tc>
        <w:tc>
          <w:tcPr>
            <w:tcW w:w="1831"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vAlign w:val="center"/>
          </w:tcPr>
          <w:p>
            <w:pPr>
              <w:ind w:firstLine="28"/>
              <w:jc w:val="center"/>
              <w:rPr>
                <w:rFonts w:ascii="宋体" w:hAnsi="宋体"/>
                <w:color w:val="000000"/>
              </w:rPr>
            </w:pPr>
            <w:r>
              <w:rPr>
                <w:rFonts w:ascii="宋体" w:hAnsi="宋体"/>
                <w:color w:val="000000"/>
              </w:rPr>
              <w:t>3</w:t>
            </w:r>
          </w:p>
        </w:tc>
        <w:tc>
          <w:tcPr>
            <w:tcW w:w="1134" w:type="dxa"/>
            <w:vMerge w:val="restart"/>
            <w:vAlign w:val="center"/>
          </w:tcPr>
          <w:p>
            <w:pPr>
              <w:ind w:firstLine="28"/>
              <w:jc w:val="center"/>
              <w:rPr>
                <w:rFonts w:ascii="宋体" w:hAnsi="宋体"/>
                <w:color w:val="000000"/>
              </w:rPr>
            </w:pPr>
            <w:r>
              <w:rPr>
                <w:rFonts w:ascii="宋体" w:hAnsi="宋体"/>
                <w:color w:val="000000"/>
              </w:rPr>
              <w:t>商务部分</w:t>
            </w:r>
          </w:p>
          <w:p>
            <w:pPr>
              <w:ind w:firstLine="28"/>
              <w:jc w:val="center"/>
              <w:rPr>
                <w:rFonts w:ascii="宋体" w:hAnsi="宋体"/>
                <w:color w:val="000000"/>
              </w:rPr>
            </w:pPr>
            <w:r>
              <w:rPr>
                <w:rFonts w:ascii="宋体" w:hAnsi="宋体"/>
                <w:color w:val="000000"/>
              </w:rPr>
              <w:t>（20%）</w:t>
            </w:r>
          </w:p>
        </w:tc>
        <w:tc>
          <w:tcPr>
            <w:tcW w:w="709" w:type="dxa"/>
            <w:vAlign w:val="center"/>
          </w:tcPr>
          <w:p>
            <w:pPr>
              <w:spacing w:line="400" w:lineRule="exact"/>
              <w:jc w:val="center"/>
              <w:rPr>
                <w:rFonts w:ascii="宋体" w:hAnsi="宋体"/>
                <w:color w:val="000000"/>
              </w:rPr>
            </w:pPr>
            <w:r>
              <w:rPr>
                <w:rFonts w:ascii="宋体" w:hAnsi="宋体"/>
                <w:color w:val="000000"/>
              </w:rPr>
              <w:t>5</w:t>
            </w:r>
            <w:r>
              <w:rPr>
                <w:rFonts w:hint="eastAsia" w:ascii="宋体" w:hAnsi="宋体"/>
                <w:color w:val="000000"/>
              </w:rPr>
              <w:t>分</w:t>
            </w:r>
          </w:p>
        </w:tc>
        <w:tc>
          <w:tcPr>
            <w:tcW w:w="5387" w:type="dxa"/>
            <w:vAlign w:val="center"/>
          </w:tcPr>
          <w:p>
            <w:pPr>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lang w:eastAsia="zh-CN"/>
              </w:rPr>
              <w:t>、</w:t>
            </w:r>
            <w:r>
              <w:rPr>
                <w:rFonts w:hint="eastAsia" w:asciiTheme="minorEastAsia" w:hAnsiTheme="minorEastAsia" w:eastAsiaTheme="minorEastAsia"/>
              </w:rPr>
              <w:t>所投产品制造商全部为国家信息安全漏洞共享平台（CNVD）技术组成员，得3分</w:t>
            </w:r>
          </w:p>
          <w:p>
            <w:pPr>
              <w:rPr>
                <w:rFonts w:ascii="宋体" w:hAnsi="宋体"/>
                <w:color w:val="000000"/>
              </w:rPr>
            </w:pPr>
            <w:r>
              <w:rPr>
                <w:rFonts w:hint="eastAsia" w:asciiTheme="minorEastAsia" w:hAnsiTheme="minorEastAsia" w:eastAsiaTheme="minorEastAsia"/>
                <w:lang w:val="en-US" w:eastAsia="zh-CN"/>
              </w:rPr>
              <w:t>2、</w:t>
            </w:r>
            <w:r>
              <w:rPr>
                <w:rFonts w:hint="eastAsia" w:asciiTheme="minorEastAsia" w:hAnsiTheme="minorEastAsia" w:eastAsiaTheme="minorEastAsia"/>
              </w:rPr>
              <w:t>提供近三年（截止开标时间）所投主要产品在医院、高校及高等科研院所的业绩案例。提供大于本次</w:t>
            </w:r>
            <w:r>
              <w:rPr>
                <w:rFonts w:hint="eastAsia" w:asciiTheme="minorEastAsia" w:hAnsiTheme="minorEastAsia" w:eastAsiaTheme="minorEastAsia"/>
                <w:lang w:eastAsia="zh-CN"/>
              </w:rPr>
              <w:t>项目总</w:t>
            </w:r>
            <w:r>
              <w:rPr>
                <w:rFonts w:hint="eastAsia" w:asciiTheme="minorEastAsia" w:hAnsiTheme="minorEastAsia" w:eastAsiaTheme="minorEastAsia"/>
              </w:rPr>
              <w:t>金额的合同</w:t>
            </w:r>
            <w:r>
              <w:rPr>
                <w:rFonts w:hint="eastAsia" w:asciiTheme="minorEastAsia" w:hAnsiTheme="minorEastAsia" w:eastAsiaTheme="minorEastAsia"/>
                <w:lang w:eastAsia="zh-CN"/>
              </w:rPr>
              <w:t>每份得</w:t>
            </w:r>
            <w:r>
              <w:rPr>
                <w:rFonts w:asciiTheme="minorEastAsia" w:hAnsiTheme="minorEastAsia" w:eastAsiaTheme="minorEastAsia"/>
              </w:rPr>
              <w:t>0.5</w:t>
            </w:r>
            <w:r>
              <w:rPr>
                <w:rFonts w:hint="eastAsia" w:asciiTheme="minorEastAsia" w:hAnsiTheme="minorEastAsia" w:eastAsiaTheme="minorEastAsia"/>
              </w:rPr>
              <w:t>分</w:t>
            </w:r>
            <w:r>
              <w:rPr>
                <w:rFonts w:hint="eastAsia" w:asciiTheme="minorEastAsia" w:hAnsiTheme="minorEastAsia" w:eastAsiaTheme="minorEastAsia"/>
                <w:lang w:eastAsia="zh-CN"/>
              </w:rPr>
              <w:t>，最高得</w:t>
            </w:r>
            <w:r>
              <w:rPr>
                <w:rFonts w:hint="eastAsia" w:asciiTheme="minorEastAsia" w:hAnsiTheme="minorEastAsia" w:eastAsiaTheme="minorEastAsia"/>
                <w:lang w:val="en-US" w:eastAsia="zh-CN"/>
              </w:rPr>
              <w:t>2分。</w:t>
            </w:r>
          </w:p>
        </w:tc>
        <w:tc>
          <w:tcPr>
            <w:tcW w:w="1831" w:type="dxa"/>
            <w:vAlign w:val="center"/>
          </w:tcPr>
          <w:p>
            <w:pPr>
              <w:snapToGrid w:val="0"/>
              <w:spacing w:line="340" w:lineRule="exact"/>
              <w:rPr>
                <w:rFonts w:ascii="宋体" w:hAnsi="宋体"/>
                <w:color w:val="000000"/>
              </w:rPr>
            </w:pPr>
            <w:r>
              <w:rPr>
                <w:rFonts w:hint="eastAsia" w:ascii="宋体" w:hAnsi="宋体"/>
                <w:color w:val="000000"/>
              </w:rPr>
              <w:t>提供合同扫描复印件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trPr>
        <w:tc>
          <w:tcPr>
            <w:tcW w:w="675" w:type="dxa"/>
            <w:vMerge w:val="continue"/>
            <w:vAlign w:val="center"/>
          </w:tcPr>
          <w:p>
            <w:pPr>
              <w:ind w:firstLine="28"/>
              <w:jc w:val="center"/>
              <w:rPr>
                <w:rFonts w:ascii="宋体" w:hAnsi="宋体"/>
                <w:color w:val="000000"/>
              </w:rPr>
            </w:pPr>
          </w:p>
        </w:tc>
        <w:tc>
          <w:tcPr>
            <w:tcW w:w="1134" w:type="dxa"/>
            <w:vMerge w:val="continue"/>
            <w:vAlign w:val="center"/>
          </w:tcPr>
          <w:p>
            <w:pPr>
              <w:ind w:firstLine="28"/>
              <w:jc w:val="center"/>
              <w:rPr>
                <w:rFonts w:ascii="宋体" w:hAnsi="宋体"/>
                <w:color w:val="000000"/>
              </w:rPr>
            </w:pPr>
          </w:p>
        </w:tc>
        <w:tc>
          <w:tcPr>
            <w:tcW w:w="709" w:type="dxa"/>
            <w:vAlign w:val="center"/>
          </w:tcPr>
          <w:p>
            <w:pPr>
              <w:ind w:firstLine="28"/>
              <w:jc w:val="center"/>
              <w:rPr>
                <w:rFonts w:ascii="宋体" w:hAnsi="宋体"/>
                <w:color w:val="000000"/>
              </w:rPr>
            </w:pPr>
            <w:r>
              <w:rPr>
                <w:rFonts w:hint="eastAsia" w:ascii="宋体" w:hAnsi="宋体"/>
                <w:color w:val="000000"/>
              </w:rPr>
              <w:t>9分</w:t>
            </w:r>
          </w:p>
        </w:tc>
        <w:tc>
          <w:tcPr>
            <w:tcW w:w="5387" w:type="dxa"/>
            <w:vAlign w:val="center"/>
          </w:tcPr>
          <w:p>
            <w:pPr>
              <w:rPr>
                <w:rFonts w:ascii="宋体" w:hAnsi="宋体"/>
                <w:b/>
                <w:bCs/>
                <w:color w:val="000000"/>
              </w:rPr>
            </w:pPr>
            <w:r>
              <w:rPr>
                <w:rFonts w:hint="eastAsia" w:ascii="宋体" w:hAnsi="宋体"/>
                <w:b/>
                <w:bCs/>
                <w:color w:val="000000"/>
              </w:rPr>
              <w:t>投标人实力：</w:t>
            </w:r>
          </w:p>
          <w:p>
            <w:pP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、投标人拟派项目组成员具有信息安全专业人员（CISP）证书，得</w:t>
            </w:r>
            <w:r>
              <w:rPr>
                <w:rFonts w:asciiTheme="minorEastAsia" w:hAnsiTheme="minorEastAsia" w:eastAsiaTheme="minorEastAsia"/>
              </w:rPr>
              <w:t>2</w:t>
            </w:r>
            <w:r>
              <w:rPr>
                <w:rFonts w:hint="eastAsia" w:asciiTheme="minorEastAsia" w:hAnsiTheme="minorEastAsia" w:eastAsiaTheme="minorEastAsia"/>
              </w:rPr>
              <w:t>分，具有项目管理师认证（PMP）证书，得</w:t>
            </w:r>
            <w:r>
              <w:rPr>
                <w:rFonts w:asciiTheme="minorEastAsia" w:hAnsiTheme="minorEastAsia" w:eastAsiaTheme="minorEastAsia"/>
              </w:rPr>
              <w:t>2</w:t>
            </w:r>
            <w:r>
              <w:rPr>
                <w:rFonts w:hint="eastAsia" w:asciiTheme="minorEastAsia" w:hAnsiTheme="minorEastAsia" w:eastAsiaTheme="minorEastAsia"/>
              </w:rPr>
              <w:t>分；本项最多得</w:t>
            </w:r>
            <w:r>
              <w:rPr>
                <w:rFonts w:asciiTheme="minorEastAsia" w:hAnsiTheme="minorEastAsia" w:eastAsiaTheme="minorEastAsia"/>
              </w:rPr>
              <w:t>4</w:t>
            </w:r>
            <w:r>
              <w:rPr>
                <w:rFonts w:hint="eastAsia" w:asciiTheme="minorEastAsia" w:hAnsiTheme="minorEastAsia" w:eastAsiaTheme="minorEastAsia"/>
              </w:rPr>
              <w:t>分。</w:t>
            </w:r>
          </w:p>
          <w:p>
            <w:pPr>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、投标人具有信息系统服务交付能力等级证书三级得</w:t>
            </w:r>
            <w:r>
              <w:rPr>
                <w:rFonts w:asciiTheme="minorEastAsia" w:hAnsiTheme="minorEastAsia" w:eastAsiaTheme="minorEastAsia"/>
              </w:rPr>
              <w:t>1</w:t>
            </w:r>
            <w:r>
              <w:rPr>
                <w:rFonts w:hint="eastAsia" w:asciiTheme="minorEastAsia" w:hAnsiTheme="minorEastAsia" w:eastAsiaTheme="minorEastAsia"/>
              </w:rPr>
              <w:t>分，二级及以上得1</w:t>
            </w:r>
            <w:r>
              <w:rPr>
                <w:rFonts w:asciiTheme="minorEastAsia" w:hAnsiTheme="minorEastAsia" w:eastAsiaTheme="minorEastAsia"/>
              </w:rPr>
              <w:t>.5</w:t>
            </w:r>
            <w:r>
              <w:rPr>
                <w:rFonts w:hint="eastAsia" w:asciiTheme="minorEastAsia" w:hAnsiTheme="minorEastAsia" w:eastAsiaTheme="minorEastAsia"/>
              </w:rPr>
              <w:t>分。</w:t>
            </w:r>
          </w:p>
          <w:p>
            <w:pPr>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、投标人具有</w:t>
            </w:r>
            <w:r>
              <w:rPr>
                <w:rFonts w:asciiTheme="minorEastAsia" w:hAnsiTheme="minorEastAsia" w:eastAsiaTheme="minorEastAsia"/>
              </w:rPr>
              <w:t>ITSS</w:t>
            </w:r>
            <w:r>
              <w:rPr>
                <w:rFonts w:hint="eastAsia" w:asciiTheme="minorEastAsia" w:hAnsiTheme="minorEastAsia" w:eastAsiaTheme="minorEastAsia"/>
              </w:rPr>
              <w:t>信息技术服务运行维护资质三级得</w:t>
            </w:r>
            <w:r>
              <w:rPr>
                <w:rFonts w:asciiTheme="minorEastAsia" w:hAnsiTheme="minorEastAsia" w:eastAsiaTheme="minorEastAsia"/>
              </w:rPr>
              <w:t>1</w:t>
            </w:r>
            <w:r>
              <w:rPr>
                <w:rFonts w:hint="eastAsia" w:asciiTheme="minorEastAsia" w:hAnsiTheme="minorEastAsia" w:eastAsiaTheme="minorEastAsia"/>
              </w:rPr>
              <w:t>分，二级及以上得1</w:t>
            </w:r>
            <w:r>
              <w:rPr>
                <w:rFonts w:asciiTheme="minorEastAsia" w:hAnsiTheme="minorEastAsia" w:eastAsiaTheme="minorEastAsia"/>
              </w:rPr>
              <w:t>.5</w:t>
            </w:r>
            <w:r>
              <w:rPr>
                <w:rFonts w:hint="eastAsia" w:asciiTheme="minorEastAsia" w:hAnsiTheme="minorEastAsia" w:eastAsiaTheme="minorEastAsia"/>
              </w:rPr>
              <w:t>分。</w:t>
            </w:r>
          </w:p>
          <w:p>
            <w:pPr>
              <w:rPr>
                <w:rFonts w:ascii="宋体" w:hAnsi="宋体"/>
                <w:b/>
                <w:bCs/>
                <w:color w:val="000000"/>
              </w:rPr>
            </w:pP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为</w:t>
            </w:r>
            <w:r>
              <w:rPr>
                <w:rFonts w:hint="eastAsia" w:asciiTheme="minorEastAsia" w:hAnsiTheme="minorEastAsia" w:eastAsiaTheme="minorEastAsia"/>
              </w:rPr>
              <w:t>保障系统高效稳定运行，出现故障能及时到达现场处理，投标人承诺故障响应时间≤3</w:t>
            </w:r>
            <w:r>
              <w:rPr>
                <w:rFonts w:asciiTheme="minorEastAsia" w:hAnsiTheme="minorEastAsia" w:eastAsiaTheme="minorEastAsia"/>
              </w:rPr>
              <w:t>0</w:t>
            </w:r>
            <w:r>
              <w:rPr>
                <w:rFonts w:hint="eastAsia" w:asciiTheme="minorEastAsia" w:hAnsiTheme="minorEastAsia" w:eastAsiaTheme="minorEastAsia"/>
              </w:rPr>
              <w:t>分钟，备件更换时间≤1小时，得2分。（提供备件库地址</w:t>
            </w:r>
            <w:r>
              <w:rPr>
                <w:rFonts w:hint="eastAsia" w:asciiTheme="minorEastAsia" w:hAnsiTheme="minorEastAsia" w:eastAsiaTheme="minorEastAsia"/>
                <w:lang w:eastAsia="zh-CN"/>
              </w:rPr>
              <w:t>及承诺函</w:t>
            </w:r>
            <w:r>
              <w:rPr>
                <w:rFonts w:hint="eastAsia" w:asciiTheme="minorEastAsia" w:hAnsiTheme="minorEastAsia" w:eastAsiaTheme="minorEastAsia"/>
              </w:rPr>
              <w:t>）</w:t>
            </w:r>
          </w:p>
        </w:tc>
        <w:tc>
          <w:tcPr>
            <w:tcW w:w="1831" w:type="dxa"/>
            <w:vAlign w:val="center"/>
          </w:tcPr>
          <w:p>
            <w:pPr>
              <w:snapToGrid w:val="0"/>
              <w:spacing w:line="340" w:lineRule="exact"/>
              <w:rPr>
                <w:rFonts w:ascii="宋体" w:hAnsi="宋体"/>
                <w:color w:val="000000"/>
              </w:rPr>
            </w:pPr>
            <w:r>
              <w:rPr>
                <w:rFonts w:hint="eastAsia" w:asciiTheme="minorEastAsia" w:hAnsiTheme="minorEastAsia" w:eastAsiaTheme="minorEastAsia"/>
              </w:rPr>
              <w:t>（提供证书复印件，以及投标人为持证人员缴纳的</w:t>
            </w:r>
            <w:r>
              <w:rPr>
                <w:rFonts w:hint="eastAsia" w:asciiTheme="minorEastAsia" w:hAnsiTheme="minorEastAsia" w:eastAsiaTheme="minorEastAsia"/>
                <w:lang w:eastAsia="zh-CN"/>
              </w:rPr>
              <w:t>近</w:t>
            </w:r>
            <w:r>
              <w:rPr>
                <w:rFonts w:hint="eastAsia" w:asciiTheme="minorEastAsia" w:hAnsiTheme="minorEastAsia" w:eastAsiaTheme="minorEastAsia"/>
                <w:lang w:val="en-US" w:eastAsia="zh-CN"/>
              </w:rPr>
              <w:t>6月（3月至8月）</w:t>
            </w:r>
            <w:r>
              <w:rPr>
                <w:rFonts w:hint="eastAsia" w:asciiTheme="minorEastAsia" w:hAnsiTheme="minorEastAsia" w:eastAsiaTheme="minorEastAsia"/>
              </w:rPr>
              <w:t>社保证明，参保证明必须包含身份证号（社保号）和参保基本情况、参保缴费明细（养老保险））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vAlign w:val="center"/>
          </w:tcPr>
          <w:p>
            <w:pPr>
              <w:ind w:firstLine="28"/>
              <w:jc w:val="center"/>
              <w:rPr>
                <w:rFonts w:ascii="宋体" w:hAnsi="宋体"/>
                <w:color w:val="000000"/>
              </w:rPr>
            </w:pPr>
          </w:p>
        </w:tc>
        <w:tc>
          <w:tcPr>
            <w:tcW w:w="1134" w:type="dxa"/>
            <w:vMerge w:val="continue"/>
            <w:vAlign w:val="center"/>
          </w:tcPr>
          <w:p>
            <w:pPr>
              <w:ind w:firstLine="28"/>
              <w:jc w:val="center"/>
              <w:rPr>
                <w:rFonts w:ascii="宋体" w:hAnsi="宋体"/>
                <w:color w:val="000000"/>
              </w:rPr>
            </w:pPr>
          </w:p>
        </w:tc>
        <w:tc>
          <w:tcPr>
            <w:tcW w:w="709" w:type="dxa"/>
            <w:vAlign w:val="center"/>
          </w:tcPr>
          <w:p>
            <w:pPr>
              <w:ind w:firstLine="28"/>
              <w:jc w:val="center"/>
              <w:rPr>
                <w:rFonts w:ascii="宋体" w:hAnsi="宋体"/>
                <w:color w:val="000000"/>
              </w:rPr>
            </w:pPr>
            <w:r>
              <w:rPr>
                <w:rFonts w:ascii="宋体" w:hAnsi="宋体"/>
                <w:color w:val="000000"/>
              </w:rPr>
              <w:t>6</w:t>
            </w:r>
            <w:r>
              <w:rPr>
                <w:rFonts w:hint="eastAsia" w:ascii="宋体" w:hAnsi="宋体"/>
                <w:color w:val="000000"/>
              </w:rPr>
              <w:t>分</w:t>
            </w:r>
          </w:p>
        </w:tc>
        <w:tc>
          <w:tcPr>
            <w:tcW w:w="5387" w:type="dxa"/>
            <w:vAlign w:val="center"/>
          </w:tcPr>
          <w:p>
            <w:pPr>
              <w:rPr>
                <w:rFonts w:ascii="宋体" w:hAnsi="宋体"/>
                <w:b/>
                <w:bCs/>
                <w:color w:val="000000"/>
              </w:rPr>
            </w:pPr>
            <w:r>
              <w:rPr>
                <w:rFonts w:hint="eastAsia" w:ascii="宋体" w:hAnsi="宋体"/>
                <w:b/>
                <w:bCs/>
                <w:color w:val="000000"/>
              </w:rPr>
              <w:t>售后技术服务:</w:t>
            </w:r>
          </w:p>
          <w:p>
            <w:pPr>
              <w:snapToGrid w:val="0"/>
              <w:spacing w:line="340" w:lineRule="exact"/>
              <w:ind w:firstLine="420" w:firstLineChars="200"/>
              <w:rPr>
                <w:rFonts w:ascii="宋体" w:hAnsi="宋体"/>
                <w:color w:val="000000"/>
              </w:rPr>
            </w:pPr>
            <w:r>
              <w:rPr>
                <w:rFonts w:hint="eastAsia" w:asciiTheme="minorEastAsia" w:hAnsiTheme="minorEastAsia" w:eastAsiaTheme="minorEastAsia"/>
              </w:rPr>
              <w:t>软硬件及其服务满足3年原厂质保期，分值无加减，在满足基础上，每增加1年技术服务质保期加</w:t>
            </w:r>
            <w:r>
              <w:rPr>
                <w:rFonts w:asciiTheme="minorEastAsia" w:hAnsiTheme="minorEastAsia" w:eastAsiaTheme="minorEastAsia"/>
              </w:rPr>
              <w:t>3</w:t>
            </w:r>
            <w:r>
              <w:rPr>
                <w:rFonts w:hint="eastAsia" w:asciiTheme="minorEastAsia" w:hAnsiTheme="minorEastAsia" w:eastAsiaTheme="minorEastAsia"/>
              </w:rPr>
              <w:t>分，最多得</w:t>
            </w:r>
            <w:r>
              <w:rPr>
                <w:rFonts w:asciiTheme="minorEastAsia" w:hAnsiTheme="minorEastAsia" w:eastAsiaTheme="minorEastAsia"/>
              </w:rPr>
              <w:t>6</w:t>
            </w:r>
            <w:r>
              <w:rPr>
                <w:rFonts w:hint="eastAsia" w:asciiTheme="minorEastAsia" w:hAnsiTheme="minorEastAsia" w:eastAsiaTheme="minorEastAsia"/>
              </w:rPr>
              <w:t>分</w:t>
            </w:r>
            <w:r>
              <w:rPr>
                <w:rFonts w:hint="eastAsia" w:asciiTheme="minorEastAsia" w:hAnsiTheme="minorEastAsia" w:eastAsiaTheme="minorEastAsia"/>
                <w:lang w:eastAsia="zh-CN"/>
              </w:rPr>
              <w:t>。</w:t>
            </w:r>
            <w:r>
              <w:rPr>
                <w:rFonts w:hint="eastAsia" w:asciiTheme="minorEastAsia" w:hAnsiTheme="minorEastAsia" w:eastAsiaTheme="minorEastAsia"/>
              </w:rPr>
              <w:t>（提供原厂售后服务承诺函并加盖鲜章）。</w:t>
            </w:r>
          </w:p>
        </w:tc>
        <w:tc>
          <w:tcPr>
            <w:tcW w:w="1831" w:type="dxa"/>
            <w:vAlign w:val="center"/>
          </w:tcPr>
          <w:p>
            <w:pPr>
              <w:snapToGrid w:val="0"/>
              <w:spacing w:line="340" w:lineRule="exact"/>
              <w:rPr>
                <w:rFonts w:ascii="宋体" w:hAnsi="宋体"/>
                <w:color w:val="000000"/>
              </w:rPr>
            </w:pPr>
            <w:r>
              <w:rPr>
                <w:rFonts w:hint="eastAsia" w:asciiTheme="minorEastAsia" w:hAnsiTheme="minorEastAsia" w:eastAsiaTheme="minorEastAsia"/>
              </w:rPr>
              <w:t>（提供原厂售后服务承诺函并加盖鲜章）。</w:t>
            </w:r>
          </w:p>
        </w:tc>
      </w:tr>
    </w:tbl>
    <w:p>
      <w:pPr>
        <w:pStyle w:val="5"/>
        <w:rPr>
          <w:sz w:val="24"/>
          <w:szCs w:val="24"/>
        </w:rPr>
      </w:pP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三、响应人不足的情形</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有下列情形之一的，比选人将重新组织比选：</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截止时间止，响应人少于 3 个的；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经评审小组评审后否决所有响应人的。</w:t>
      </w:r>
    </w:p>
    <w:p>
      <w:pPr>
        <w:spacing w:line="440" w:lineRule="exact"/>
        <w:ind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经评审后，如有效响应人不足三个的，且使得比选明显缺乏竞争的，评审小组可以否决全部响应人，比选人将重新组织比选。</w:t>
      </w:r>
    </w:p>
    <w:p>
      <w:pPr>
        <w:spacing w:line="420" w:lineRule="exact"/>
        <w:ind w:firstLine="480" w:firstLineChars="200"/>
        <w:rPr>
          <w:rFonts w:ascii="宋体" w:hAnsi="宋体" w:cs="宋体"/>
          <w:sz w:val="24"/>
          <w:szCs w:val="24"/>
        </w:rPr>
      </w:pPr>
      <w:r>
        <w:rPr>
          <w:rFonts w:hint="eastAsia" w:ascii="宋体" w:hAnsi="宋体" w:cs="宋体"/>
          <w:sz w:val="24"/>
          <w:szCs w:val="24"/>
        </w:rPr>
        <w:t>重新比选后响应人仍少于3个，由评审小组商议决定是否按法定程序比选和评审，确定中选人或转变采购方式。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rPr>
        <w:t>四、比选有效期</w:t>
      </w:r>
      <w:r>
        <w:rPr>
          <w:rFonts w:hint="eastAsia" w:ascii="宋体" w:hAnsi="宋体" w:cs="宋体"/>
          <w:sz w:val="24"/>
          <w:szCs w:val="24"/>
        </w:rPr>
        <w:t>：3</w:t>
      </w:r>
      <w:r>
        <w:rPr>
          <w:rFonts w:ascii="宋体" w:hAnsi="宋体" w:cs="宋体"/>
          <w:sz w:val="24"/>
          <w:szCs w:val="24"/>
        </w:rPr>
        <w:t>0</w:t>
      </w:r>
      <w:r>
        <w:rPr>
          <w:rFonts w:hint="eastAsia" w:ascii="宋体" w:hAnsi="宋体" w:cs="宋体"/>
          <w:sz w:val="24"/>
          <w:szCs w:val="24"/>
        </w:rPr>
        <w:t>日历天。（从提交响应文件截止日起计算）</w:t>
      </w:r>
    </w:p>
    <w:p>
      <w:pPr>
        <w:spacing w:line="420" w:lineRule="exact"/>
        <w:ind w:firstLine="482" w:firstLineChars="200"/>
        <w:rPr>
          <w:rFonts w:ascii="宋体" w:hAnsi="宋体" w:cs="宋体"/>
          <w:sz w:val="24"/>
          <w:szCs w:val="24"/>
        </w:rPr>
      </w:pPr>
      <w:r>
        <w:rPr>
          <w:rFonts w:hint="eastAsia" w:ascii="宋体" w:hAnsi="宋体" w:cs="宋体"/>
          <w:b/>
          <w:bCs/>
          <w:sz w:val="24"/>
          <w:szCs w:val="24"/>
        </w:rPr>
        <w:t>五、付款方式</w:t>
      </w:r>
      <w:r>
        <w:rPr>
          <w:rFonts w:hint="eastAsia" w:ascii="宋体" w:hAnsi="宋体" w:cs="宋体"/>
          <w:sz w:val="24"/>
          <w:szCs w:val="24"/>
        </w:rPr>
        <w:t>：见合同。</w:t>
      </w:r>
    </w:p>
    <w:p>
      <w:pPr>
        <w:spacing w:line="420" w:lineRule="exact"/>
        <w:ind w:firstLine="482" w:firstLineChars="200"/>
        <w:rPr>
          <w:rFonts w:ascii="宋体" w:cs="宋体"/>
          <w:sz w:val="24"/>
          <w:szCs w:val="24"/>
        </w:rPr>
      </w:pPr>
      <w:r>
        <w:rPr>
          <w:rFonts w:hint="eastAsia" w:ascii="宋体" w:hAnsi="宋体" w:cs="宋体"/>
          <w:b/>
          <w:bCs/>
          <w:sz w:val="24"/>
          <w:szCs w:val="24"/>
        </w:rPr>
        <w:t>六、响应文件的组成</w:t>
      </w:r>
      <w:r>
        <w:rPr>
          <w:rFonts w:hint="eastAsia" w:ascii="宋体" w:hAnsi="宋体" w:cs="宋体"/>
          <w:sz w:val="24"/>
          <w:szCs w:val="24"/>
        </w:rPr>
        <w:t>：</w:t>
      </w:r>
    </w:p>
    <w:p>
      <w:pPr>
        <w:spacing w:line="420" w:lineRule="exact"/>
        <w:ind w:firstLine="480" w:firstLineChars="200"/>
        <w:rPr>
          <w:rFonts w:ascii="宋体" w:hAnsi="宋体"/>
          <w:sz w:val="24"/>
          <w:szCs w:val="24"/>
        </w:rPr>
      </w:pPr>
      <w:bookmarkStart w:id="0" w:name="_Toc256249129"/>
      <w:bookmarkStart w:id="1" w:name="_Toc12789069"/>
      <w:r>
        <w:rPr>
          <w:rFonts w:hint="eastAsia" w:ascii="宋体" w:hAnsi="宋体"/>
          <w:sz w:val="24"/>
          <w:szCs w:val="24"/>
        </w:rPr>
        <w:t>比选报价函；</w:t>
      </w:r>
    </w:p>
    <w:p>
      <w:pPr>
        <w:spacing w:line="420" w:lineRule="exact"/>
        <w:ind w:firstLine="480" w:firstLineChars="200"/>
        <w:rPr>
          <w:rFonts w:ascii="宋体" w:hAnsi="宋体"/>
          <w:sz w:val="24"/>
          <w:szCs w:val="24"/>
        </w:rPr>
      </w:pPr>
      <w:r>
        <w:rPr>
          <w:rFonts w:hint="eastAsia" w:ascii="宋体" w:hAnsi="宋体"/>
          <w:sz w:val="24"/>
          <w:szCs w:val="24"/>
        </w:rPr>
        <w:t>法定代表人身份证明及授权委托书；</w:t>
      </w:r>
    </w:p>
    <w:p>
      <w:pPr>
        <w:spacing w:line="420" w:lineRule="exact"/>
        <w:ind w:firstLine="480" w:firstLineChars="200"/>
        <w:rPr>
          <w:rFonts w:ascii="宋体" w:hAnsi="宋体"/>
          <w:sz w:val="24"/>
          <w:szCs w:val="24"/>
        </w:rPr>
      </w:pPr>
      <w:r>
        <w:rPr>
          <w:rFonts w:hint="eastAsia" w:ascii="宋体" w:hAnsi="宋体"/>
          <w:sz w:val="24"/>
          <w:szCs w:val="24"/>
        </w:rPr>
        <w:t>资质材料；</w:t>
      </w:r>
    </w:p>
    <w:p>
      <w:pPr>
        <w:spacing w:line="420" w:lineRule="exact"/>
        <w:ind w:firstLine="480" w:firstLineChars="200"/>
        <w:rPr>
          <w:rFonts w:ascii="宋体" w:hAnsi="宋体"/>
          <w:sz w:val="24"/>
          <w:szCs w:val="24"/>
        </w:rPr>
      </w:pPr>
      <w:r>
        <w:rPr>
          <w:rFonts w:hint="eastAsia" w:ascii="宋体" w:hAnsi="宋体"/>
          <w:sz w:val="24"/>
          <w:szCs w:val="24"/>
        </w:rPr>
        <w:t>其它须说明材料。</w:t>
      </w:r>
    </w:p>
    <w:p>
      <w:pPr>
        <w:spacing w:line="420" w:lineRule="exact"/>
        <w:ind w:firstLine="480" w:firstLineChars="200"/>
        <w:rPr>
          <w:rFonts w:ascii="宋体" w:hAnsi="宋体"/>
          <w:sz w:val="24"/>
          <w:szCs w:val="24"/>
        </w:rPr>
      </w:pPr>
      <w:r>
        <w:rPr>
          <w:rFonts w:hint="eastAsia" w:ascii="宋体" w:hAnsi="宋体"/>
          <w:sz w:val="24"/>
          <w:szCs w:val="24"/>
        </w:rPr>
        <w:t>注意：以上资料应提供复印件并加盖鲜章，响应文件应提交正本一份，副本一份并进行密封，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r>
        <w:rPr>
          <w:rFonts w:hint="eastAsia" w:ascii="宋体" w:hAnsi="宋体" w:cs="宋体"/>
          <w:b/>
          <w:bCs/>
          <w:color w:val="000000"/>
          <w:sz w:val="24"/>
          <w:szCs w:val="24"/>
        </w:rPr>
        <w:t>七、合同的签订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rPr>
        <w:t>八、费用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cs="宋体"/>
          <w:b/>
          <w:bCs/>
          <w:sz w:val="24"/>
          <w:szCs w:val="24"/>
        </w:rPr>
      </w:pPr>
      <w:r>
        <w:rPr>
          <w:rFonts w:hint="eastAsia" w:ascii="宋体" w:hAnsi="宋体" w:cs="宋体"/>
          <w:b/>
          <w:bCs/>
          <w:sz w:val="24"/>
          <w:szCs w:val="24"/>
        </w:rPr>
        <w:t>九、如有未尽事宜，最终解释权在比选方。</w:t>
      </w:r>
    </w:p>
    <w:p>
      <w:pPr>
        <w:spacing w:line="420" w:lineRule="exact"/>
        <w:rPr>
          <w:rFonts w:hint="eastAsia" w:ascii="宋体" w:hAnsi="宋体" w:cs="宋体"/>
          <w:b/>
          <w:bCs/>
          <w:color w:val="000000"/>
          <w:sz w:val="24"/>
          <w:szCs w:val="24"/>
        </w:rPr>
      </w:pPr>
      <w:r>
        <w:rPr>
          <w:rFonts w:hint="eastAsia" w:ascii="宋体" w:hAnsi="宋体" w:cs="宋体"/>
          <w:b/>
          <w:bCs/>
          <w:color w:val="000000"/>
          <w:sz w:val="24"/>
          <w:szCs w:val="24"/>
        </w:rPr>
        <w:br w:type="page"/>
      </w:r>
    </w:p>
    <w:p>
      <w:pPr>
        <w:spacing w:line="420" w:lineRule="exact"/>
        <w:jc w:val="center"/>
        <w:rPr>
          <w:rFonts w:asciiTheme="minorEastAsia" w:hAnsiTheme="minorEastAsia" w:eastAsiaTheme="minorEastAsia"/>
          <w:sz w:val="24"/>
          <w:szCs w:val="24"/>
        </w:rPr>
      </w:pPr>
      <w:r>
        <w:rPr>
          <w:rFonts w:hint="eastAsia" w:ascii="宋体" w:hAnsi="宋体" w:cs="宋体"/>
          <w:b/>
          <w:bCs/>
          <w:color w:val="000000"/>
          <w:sz w:val="24"/>
          <w:szCs w:val="24"/>
        </w:rPr>
        <w:t>第三章  技术标准和要求</w:t>
      </w:r>
      <w:bookmarkStart w:id="2" w:name="_Toc31359"/>
    </w:p>
    <w:p>
      <w:pPr>
        <w:spacing w:line="460" w:lineRule="exact"/>
        <w:ind w:firstLine="482" w:firstLineChars="200"/>
        <w:rPr>
          <w:rFonts w:hint="eastAsia" w:asciiTheme="minorEastAsia" w:hAnsiTheme="minorEastAsia" w:eastAsiaTheme="minorEastAsia"/>
          <w:b/>
          <w:sz w:val="24"/>
          <w:szCs w:val="24"/>
        </w:rPr>
      </w:pPr>
    </w:p>
    <w:p>
      <w:pPr>
        <w:spacing w:line="46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一、技术</w:t>
      </w:r>
      <w:bookmarkEnd w:id="2"/>
      <w:r>
        <w:rPr>
          <w:rFonts w:hint="eastAsia" w:asciiTheme="minorEastAsia" w:hAnsiTheme="minorEastAsia" w:eastAsiaTheme="minorEastAsia"/>
          <w:b/>
          <w:sz w:val="24"/>
          <w:szCs w:val="24"/>
        </w:rPr>
        <w:t>要求</w:t>
      </w:r>
    </w:p>
    <w:tbl>
      <w:tblPr>
        <w:tblStyle w:val="11"/>
        <w:tblW w:w="9209" w:type="dxa"/>
        <w:tblInd w:w="0" w:type="dxa"/>
        <w:tblLayout w:type="autofit"/>
        <w:tblCellMar>
          <w:top w:w="0" w:type="dxa"/>
          <w:left w:w="108" w:type="dxa"/>
          <w:bottom w:w="0" w:type="dxa"/>
          <w:right w:w="108" w:type="dxa"/>
        </w:tblCellMar>
      </w:tblPr>
      <w:tblGrid>
        <w:gridCol w:w="988"/>
        <w:gridCol w:w="8221"/>
      </w:tblGrid>
      <w:tr>
        <w:tblPrEx>
          <w:tblCellMar>
            <w:top w:w="0" w:type="dxa"/>
            <w:left w:w="108" w:type="dxa"/>
            <w:bottom w:w="0" w:type="dxa"/>
            <w:right w:w="108" w:type="dxa"/>
          </w:tblCellMar>
        </w:tblPrEx>
        <w:trPr>
          <w:trHeight w:val="276"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名称</w:t>
            </w:r>
          </w:p>
        </w:tc>
        <w:tc>
          <w:tcPr>
            <w:tcW w:w="8221" w:type="dxa"/>
            <w:tcBorders>
              <w:top w:val="single" w:color="auto" w:sz="4" w:space="0"/>
              <w:left w:val="nil"/>
              <w:bottom w:val="single" w:color="auto" w:sz="4" w:space="0"/>
              <w:right w:val="single" w:color="auto" w:sz="4" w:space="0"/>
            </w:tcBorders>
            <w:shd w:val="clear" w:color="auto" w:fill="auto"/>
            <w:noWrap/>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技术要求</w:t>
            </w:r>
          </w:p>
        </w:tc>
      </w:tr>
      <w:tr>
        <w:tblPrEx>
          <w:tblCellMar>
            <w:top w:w="0" w:type="dxa"/>
            <w:left w:w="108" w:type="dxa"/>
            <w:bottom w:w="0" w:type="dxa"/>
            <w:right w:w="108" w:type="dxa"/>
          </w:tblCellMar>
        </w:tblPrEx>
        <w:trPr>
          <w:trHeight w:val="1104" w:hRule="atLeast"/>
        </w:trPr>
        <w:tc>
          <w:tcPr>
            <w:tcW w:w="98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网闸</w:t>
            </w: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2U机箱,内外端机双侧液晶屏；内端机≥6个10/100/1000Base-T接口（含1个管理口），≥2个千兆光口插槽，1个扩展槽位；外端机≥6个10/100/1000Base-T接口（含1个HA口），≥2个千兆光口插槽，1个扩展槽位,冗余电源,网络吞吐量≥1Gbps，并发连接数≥12万，延时＜5ms，内外端机各不少于8G内存，内外端机各不少于1T机械硬盘；</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2、2+1”系统结构，内外端机为TCP/IP网络协议的终点，阻断TCP/IP协议的直接贯通。内外端机之间采用专用硬件和专用协议进行连接，不可编程；</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3、支持HTTPS网络传输，并且可在SSL加密通道中分解出正常HTTPS网络应用，屏蔽自由门等各类加密翻墙软件的传输；</w:t>
            </w:r>
          </w:p>
        </w:tc>
      </w:tr>
      <w:tr>
        <w:tblPrEx>
          <w:tblCellMar>
            <w:top w:w="0" w:type="dxa"/>
            <w:left w:w="108" w:type="dxa"/>
            <w:bottom w:w="0" w:type="dxa"/>
            <w:right w:w="108" w:type="dxa"/>
          </w:tblCellMar>
        </w:tblPrEx>
        <w:trPr>
          <w:trHeight w:val="276"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4、支持代理、透明和路由工作模式下均支持HTTP协议内部命令及命令参数控制策略；</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5、支持FTP文件传输协议，支持主动被动两种模式。支持FTP命令参数控制支持对传输文件的类型过滤；</w:t>
            </w:r>
          </w:p>
        </w:tc>
      </w:tr>
      <w:tr>
        <w:tblPrEx>
          <w:tblCellMar>
            <w:top w:w="0" w:type="dxa"/>
            <w:left w:w="108" w:type="dxa"/>
            <w:bottom w:w="0" w:type="dxa"/>
            <w:right w:w="108" w:type="dxa"/>
          </w:tblCellMar>
        </w:tblPrEx>
        <w:trPr>
          <w:trHeight w:val="828"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6、设备支持有客户端和无客户端两种文件同步方式。无客户端方式无需在用户服务器上安装任何插件，网闸不开放任何服务端口；有客户端方式可提供专用文件同步客户端安装在用户服务器上，提供安全的文件同步服务；</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7、▲支持同步删除和同步覆盖策略配置，并能将同步删除和同步覆盖的文件备份到指定文件夹；（提供功能截图证明）</w:t>
            </w:r>
          </w:p>
        </w:tc>
      </w:tr>
      <w:tr>
        <w:tblPrEx>
          <w:tblCellMar>
            <w:top w:w="0" w:type="dxa"/>
            <w:left w:w="108" w:type="dxa"/>
            <w:bottom w:w="0" w:type="dxa"/>
            <w:right w:w="108" w:type="dxa"/>
          </w:tblCellMar>
        </w:tblPrEx>
        <w:trPr>
          <w:trHeight w:val="276"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8、支持客户端与网闸数据摆渡通道数据特征绑定，确保只有授权的合法数据表记录可以通过网闸；</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9、数据库同步传输不使用通用数据库服务端口例如1433、1521、3306等，保障数据库同步传输的安全性；</w:t>
            </w:r>
          </w:p>
        </w:tc>
      </w:tr>
      <w:tr>
        <w:tblPrEx>
          <w:tblCellMar>
            <w:top w:w="0" w:type="dxa"/>
            <w:left w:w="108" w:type="dxa"/>
            <w:bottom w:w="0" w:type="dxa"/>
            <w:right w:w="108" w:type="dxa"/>
          </w:tblCellMar>
        </w:tblPrEx>
        <w:trPr>
          <w:trHeight w:val="276"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10、提供强制认证模块的用户名密码分配，可针对任意和网闸通信的连接请求进行身份认证；</w:t>
            </w:r>
          </w:p>
        </w:tc>
      </w:tr>
      <w:tr>
        <w:tblPrEx>
          <w:tblCellMar>
            <w:top w:w="0" w:type="dxa"/>
            <w:left w:w="108" w:type="dxa"/>
            <w:bottom w:w="0" w:type="dxa"/>
            <w:right w:w="108" w:type="dxa"/>
          </w:tblCellMar>
        </w:tblPrEx>
        <w:trPr>
          <w:trHeight w:val="276"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11、支持网络接口冗余及负载均衡功能功能，提供至少7种及以上负载均衡算法；</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12、▲产品具有《IT产品信息安全认证证书》评估保障级为（EAL4增强级）；（提供证书复印）</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13、▲产品制造商需具备国家信息安全测评信息安全服务资质证书（安全工程类三级）；（提供证书复印件）</w:t>
            </w:r>
          </w:p>
        </w:tc>
      </w:tr>
      <w:tr>
        <w:tblPrEx>
          <w:tblCellMar>
            <w:top w:w="0" w:type="dxa"/>
            <w:left w:w="108" w:type="dxa"/>
            <w:bottom w:w="0" w:type="dxa"/>
            <w:right w:w="108" w:type="dxa"/>
          </w:tblCellMar>
        </w:tblPrEx>
        <w:trPr>
          <w:trHeight w:val="276"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14、▲产品制造商具有质量管理体系TL9000认证；（提供证书复印件）</w:t>
            </w:r>
          </w:p>
        </w:tc>
      </w:tr>
      <w:tr>
        <w:tblPrEx>
          <w:tblCellMar>
            <w:top w:w="0" w:type="dxa"/>
            <w:left w:w="108" w:type="dxa"/>
            <w:bottom w:w="0" w:type="dxa"/>
            <w:right w:w="108" w:type="dxa"/>
          </w:tblCellMar>
        </w:tblPrEx>
        <w:trPr>
          <w:trHeight w:val="552" w:hRule="atLeast"/>
        </w:trPr>
        <w:tc>
          <w:tcPr>
            <w:tcW w:w="98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路由器</w:t>
            </w:r>
          </w:p>
        </w:tc>
        <w:tc>
          <w:tcPr>
            <w:tcW w:w="8221" w:type="dxa"/>
            <w:tcBorders>
              <w:top w:val="nil"/>
              <w:left w:val="nil"/>
              <w:bottom w:val="single" w:color="auto" w:sz="4" w:space="0"/>
              <w:right w:val="single" w:color="auto" w:sz="4" w:space="0"/>
            </w:tcBorders>
            <w:shd w:val="clear" w:color="auto" w:fill="auto"/>
          </w:tcPr>
          <w:p>
            <w:pPr>
              <w:widowControl/>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rPr>
              <w:t>1、★接口:≥3个千兆光口(2Combo)，≥4个万兆光口；扩展插槽：≥2个；USB2.0≥2个支持3G/4G Modem扩展，支持5G扩展</w:t>
            </w:r>
            <w:r>
              <w:rPr>
                <w:rFonts w:hint="eastAsia" w:ascii="等线" w:hAnsi="等线" w:eastAsia="等线" w:cs="宋体"/>
                <w:color w:val="000000"/>
                <w:kern w:val="0"/>
                <w:sz w:val="22"/>
                <w:lang w:eastAsia="zh-CN"/>
              </w:rPr>
              <w:t>。</w:t>
            </w:r>
          </w:p>
        </w:tc>
      </w:tr>
      <w:tr>
        <w:tblPrEx>
          <w:tblCellMar>
            <w:top w:w="0" w:type="dxa"/>
            <w:left w:w="108" w:type="dxa"/>
            <w:bottom w:w="0" w:type="dxa"/>
            <w:right w:w="108" w:type="dxa"/>
          </w:tblCellMar>
        </w:tblPrEx>
        <w:trPr>
          <w:trHeight w:val="276"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2、★性能:转发性能≥150Mpps；交换容量≥135Gbps ；内存≥2G.双主控板。</w:t>
            </w:r>
          </w:p>
        </w:tc>
      </w:tr>
      <w:tr>
        <w:tblPrEx>
          <w:tblCellMar>
            <w:top w:w="0" w:type="dxa"/>
            <w:left w:w="108" w:type="dxa"/>
            <w:bottom w:w="0" w:type="dxa"/>
            <w:right w:w="108" w:type="dxa"/>
          </w:tblCellMar>
        </w:tblPrEx>
        <w:trPr>
          <w:trHeight w:val="828"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3▲可靠性：支持并实配双主控引擎，冗余双交流电源，要求控制平面和转发平面的物理分离，最大限度的提高系统的故障隔离能力和可靠性，提供原厂官网公开链接证明和官网截图；</w:t>
            </w:r>
          </w:p>
        </w:tc>
      </w:tr>
      <w:tr>
        <w:tblPrEx>
          <w:tblCellMar>
            <w:top w:w="0" w:type="dxa"/>
            <w:left w:w="108" w:type="dxa"/>
            <w:bottom w:w="0" w:type="dxa"/>
            <w:right w:w="108" w:type="dxa"/>
          </w:tblCellMar>
        </w:tblPrEx>
        <w:trPr>
          <w:trHeight w:val="276"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3、安全特性：支持ARP防攻击，支持EAD端点准入防御功能，支持EVI、VxLAN、Trill等数据中心特性;</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4、设备支持对系统软硬件部件的内部事件、状态进行监控，出现问题时收集实时信息并自动修复,并能将现场信息发送到指定的Email邮箱。</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5、支持零配置部署，可实现零配置方式下的批量设备开局，通过短信实现设备的零开局，并且在误配置时可自动实现设备配置的回退;</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6、虚拟化:支持网络设备虚拟化功能，支持将多台物理设备虚拟成一台逻辑设备，提升链路利用率，支持跨设备链路聚合。</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7、支持基于多链路的负载分担与备份，支持NQA同路由、VRRP和接口备份的联动功能，实现端到端链路的检测与备份功能，支持BFD快速链路检测的主控主备倒换。</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8、▲安全性：支持量子加密功能，支持动态路由协议支持国密SM3算法功能，提供上述功能工信部或第三方权威机构（CNAS认可）检验报告复印件；</w:t>
            </w:r>
          </w:p>
        </w:tc>
      </w:tr>
      <w:tr>
        <w:tblPrEx>
          <w:tblCellMar>
            <w:top w:w="0" w:type="dxa"/>
            <w:left w:w="108" w:type="dxa"/>
            <w:bottom w:w="0" w:type="dxa"/>
            <w:right w:w="108" w:type="dxa"/>
          </w:tblCellMar>
        </w:tblPrEx>
        <w:trPr>
          <w:trHeight w:val="828" w:hRule="atLeast"/>
        </w:trPr>
        <w:tc>
          <w:tcPr>
            <w:tcW w:w="98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防火墙</w:t>
            </w:r>
          </w:p>
        </w:tc>
        <w:tc>
          <w:tcPr>
            <w:tcW w:w="8221" w:type="dxa"/>
            <w:tcBorders>
              <w:top w:val="nil"/>
              <w:left w:val="nil"/>
              <w:bottom w:val="single" w:color="auto" w:sz="4" w:space="0"/>
              <w:right w:val="single" w:color="auto" w:sz="4" w:space="0"/>
            </w:tcBorders>
            <w:shd w:val="clear" w:color="auto" w:fill="auto"/>
          </w:tcPr>
          <w:p>
            <w:pPr>
              <w:widowControl/>
              <w:jc w:val="left"/>
              <w:rPr>
                <w:rFonts w:hint="eastAsia" w:ascii="等线" w:hAnsi="等线" w:eastAsia="等线" w:cs="宋体"/>
                <w:color w:val="000000"/>
                <w:kern w:val="0"/>
                <w:sz w:val="22"/>
                <w:lang w:eastAsia="zh-CN"/>
              </w:rPr>
            </w:pPr>
            <w:r>
              <w:rPr>
                <w:rFonts w:hint="eastAsia" w:ascii="等线" w:hAnsi="等线" w:eastAsia="等线" w:cs="宋体"/>
                <w:color w:val="000000"/>
                <w:kern w:val="0"/>
                <w:sz w:val="22"/>
              </w:rPr>
              <w:t>1. ★产品采用多核并行处理架构，网络层吞吐量≥3 Gbps，应用层吞吐量≥1 Gbps，并发连接数≥100万，每秒新建连接数≥3万，包含入侵防护IPS、僵尸网络检测Web应用防护、网页防篡改、实时漏洞分析及防病毒等功能</w:t>
            </w:r>
            <w:r>
              <w:rPr>
                <w:rFonts w:hint="eastAsia" w:ascii="等线" w:hAnsi="等线" w:eastAsia="等线" w:cs="宋体"/>
                <w:color w:val="000000"/>
                <w:kern w:val="0"/>
                <w:sz w:val="22"/>
                <w:lang w:eastAsia="zh-CN"/>
              </w:rPr>
              <w:t>。</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2. ★产品接口≥自适应10/100/1000M以太网电口，≥2个1GE SFP口，≥2个USB口和≥1个RJ45串口，≤1电源，≤1 U机箱。</w:t>
            </w:r>
          </w:p>
        </w:tc>
      </w:tr>
      <w:tr>
        <w:tblPrEx>
          <w:tblCellMar>
            <w:top w:w="0" w:type="dxa"/>
            <w:left w:w="108" w:type="dxa"/>
            <w:bottom w:w="0" w:type="dxa"/>
            <w:right w:w="108" w:type="dxa"/>
          </w:tblCellMar>
        </w:tblPrEx>
        <w:trPr>
          <w:trHeight w:val="276"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3. 为满足相关政策要求，日志保留至少180天原则，设备硬盘容量≥ 64 GB。</w:t>
            </w:r>
          </w:p>
        </w:tc>
      </w:tr>
      <w:tr>
        <w:tblPrEx>
          <w:tblCellMar>
            <w:top w:w="0" w:type="dxa"/>
            <w:left w:w="108" w:type="dxa"/>
            <w:bottom w:w="0" w:type="dxa"/>
            <w:right w:w="108" w:type="dxa"/>
          </w:tblCellMar>
        </w:tblPrEx>
        <w:trPr>
          <w:trHeight w:val="276"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4. 支持路由、透明等多种部署方式，适应复杂使用环境的接入要求。</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5. 具备链路故障检测功能，通过ARP、DNS、PING协议等方式检测目标主机的可达性，确认接口链路是否有效，并可自定义检测频率。</w:t>
            </w:r>
          </w:p>
        </w:tc>
      </w:tr>
      <w:tr>
        <w:tblPrEx>
          <w:tblCellMar>
            <w:top w:w="0" w:type="dxa"/>
            <w:left w:w="108" w:type="dxa"/>
            <w:bottom w:w="0" w:type="dxa"/>
            <w:right w:w="108" w:type="dxa"/>
          </w:tblCellMar>
        </w:tblPrEx>
        <w:trPr>
          <w:trHeight w:val="1104"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6. ▲医院是勒索病毒的重灾区，为了有效防御勒索病毒，产品具备勒索病毒检测与防御功能，需提供公安部计算机信息系统安全产品质量监督检验中心、中国信息安全测评中心、中华人民共和国国家版权局、公安部信息安全产品检测中心之中任意一家检测机构出具关于“勒索病毒”的证书或检测报告证明功能有效性。</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7. 支持IPv4／IPv6下NAT地址转换，包括支持源地址转换SNAT，目的地址转换DNAT和双向地址转换双向NAT， 支持一对一、一对多、多对一等多种转换方式。</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8. 产品内置IPS检测引擎，支持口令暴力破解、僵尸网络、恶意软件、服务器与终端漏洞攻击等检测和防护，支持超过7000种特征规则。</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9. ★产品支持服务器漏洞防扫描功能，并对扫描源IP进行日志记录和联动封锁。所投产品必须提供具备CMA认证的第三方权威机构关于“漏洞防扫描”功能项的产品检测报告。</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10. 支持NAT ALG功能，包括支持FTP、RTSP、SQLNET、PPTP、TFTP、H.323、SIP应用协议的NAT穿越。</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11. 支持对HTTP、HTTPS、FTP、SMB、SMTP、POP3、IMAP协议进行病毒检测和查杀，支持最大16层的压缩文件查杀。</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12. 支持应用控制策略生命周期管理，包含安全策略的变更时间、变更类型和策略变更用户，并对变更内容记录日志，方便策略的管理和运维。</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13. 支持服务漏洞检测功能，基于服务器请求和响应内容识别服务器存在的系统安全漏洞和应用安全漏洞。</w:t>
            </w:r>
          </w:p>
        </w:tc>
      </w:tr>
      <w:tr>
        <w:tblPrEx>
          <w:tblCellMar>
            <w:top w:w="0" w:type="dxa"/>
            <w:left w:w="108" w:type="dxa"/>
            <w:bottom w:w="0" w:type="dxa"/>
            <w:right w:w="108" w:type="dxa"/>
          </w:tblCellMar>
        </w:tblPrEx>
        <w:trPr>
          <w:trHeight w:val="828"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14. ▲基于投入性价比考虑，产品需支持同医院现有态势感知平台联动管理，将本地防火墙产品产生的安全日志等数据上报至态势感知平台，并在态势感知平台进行威胁展示，提供相应功能截图。</w:t>
            </w:r>
          </w:p>
        </w:tc>
      </w:tr>
      <w:tr>
        <w:tblPrEx>
          <w:tblCellMar>
            <w:top w:w="0" w:type="dxa"/>
            <w:left w:w="108" w:type="dxa"/>
            <w:bottom w:w="0" w:type="dxa"/>
            <w:right w:w="108" w:type="dxa"/>
          </w:tblCellMar>
        </w:tblPrEx>
        <w:trPr>
          <w:trHeight w:val="552"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8221" w:type="dxa"/>
            <w:tcBorders>
              <w:top w:val="nil"/>
              <w:left w:val="nil"/>
              <w:bottom w:val="single" w:color="auto" w:sz="4" w:space="0"/>
              <w:right w:val="single" w:color="auto" w:sz="4" w:space="0"/>
            </w:tcBorders>
            <w:shd w:val="clear" w:color="auto" w:fill="auto"/>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15. ▲为了保障开发的软件存在的风险控制在可接受的水平，所投产品的生产厂商具备中国网络安全审查技术与认证中心的信息安全软件开发服务资质，提供有效证书复印件。</w:t>
            </w:r>
          </w:p>
        </w:tc>
      </w:tr>
    </w:tbl>
    <w:p>
      <w:pP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pStyle w:val="5"/>
      </w:pPr>
    </w:p>
    <w:p>
      <w:pPr>
        <w:pStyle w:val="5"/>
      </w:pPr>
    </w:p>
    <w:p>
      <w:pPr>
        <w:spacing w:line="400" w:lineRule="exact"/>
        <w:rPr>
          <w:rFonts w:ascii="宋体" w:hAnsi="宋体"/>
          <w:color w:val="000000"/>
        </w:rPr>
      </w:pPr>
    </w:p>
    <w:p>
      <w:pPr>
        <w:pStyle w:val="5"/>
        <w:rPr>
          <w:rFonts w:hint="eastAsia"/>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w:t>
      </w:r>
      <w:r>
        <w:rPr>
          <w:rFonts w:hint="eastAsia" w:cs="宋体" w:asciiTheme="majorEastAsia" w:hAnsiTheme="majorEastAsia" w:eastAsiaTheme="majorEastAsia"/>
          <w:b/>
          <w:bCs/>
          <w:sz w:val="44"/>
          <w:szCs w:val="44"/>
          <w:lang w:eastAsia="zh-CN"/>
        </w:rPr>
        <w:t>四</w:t>
      </w:r>
      <w:r>
        <w:rPr>
          <w:rFonts w:hint="eastAsia" w:cs="宋体" w:asciiTheme="majorEastAsia" w:hAnsiTheme="majorEastAsia" w:eastAsiaTheme="majorEastAsia"/>
          <w:b/>
          <w:bCs/>
          <w:sz w:val="44"/>
          <w:szCs w:val="44"/>
        </w:rPr>
        <w:t>章  部份响应文件格式（可参照）</w:t>
      </w:r>
    </w:p>
    <w:p>
      <w:pPr>
        <w:jc w:val="center"/>
        <w:rPr>
          <w:rFonts w:ascii="宋体" w:hAns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rPr>
          <w:rFonts w:hint="eastAsia"/>
        </w:rPr>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rPr>
          <w:rFonts w:hint="eastAsia"/>
        </w:rPr>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rPr>
          <w:rFonts w:hint="eastAsia"/>
        </w:rPr>
      </w:pPr>
    </w:p>
    <w:p>
      <w:pPr>
        <w:jc w:val="left"/>
      </w:pPr>
    </w:p>
    <w:p>
      <w:pPr>
        <w:spacing w:line="480" w:lineRule="exact"/>
        <w:jc w:val="center"/>
        <w:rPr>
          <w:rFonts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一、比选报价函；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二、法定代表人身份证明及授权委托书；</w:t>
      </w:r>
    </w:p>
    <w:p>
      <w:pPr>
        <w:spacing w:line="480" w:lineRule="exact"/>
        <w:ind w:firstLine="480" w:firstLineChars="200"/>
        <w:jc w:val="left"/>
        <w:rPr>
          <w:rFonts w:ascii="宋体" w:hAnsi="宋体"/>
          <w:sz w:val="24"/>
          <w:szCs w:val="24"/>
        </w:rPr>
      </w:pPr>
      <w:r>
        <w:rPr>
          <w:rFonts w:hint="eastAsia" w:ascii="宋体" w:hAnsi="宋体"/>
          <w:sz w:val="24"/>
          <w:szCs w:val="24"/>
        </w:rPr>
        <w:t>三、资质材料；</w:t>
      </w:r>
    </w:p>
    <w:p>
      <w:pPr>
        <w:spacing w:line="480" w:lineRule="exact"/>
        <w:ind w:firstLine="480" w:firstLineChars="200"/>
        <w:jc w:val="left"/>
        <w:rPr>
          <w:rFonts w:ascii="宋体" w:hAnsi="宋体"/>
          <w:sz w:val="24"/>
          <w:szCs w:val="24"/>
        </w:rPr>
      </w:pPr>
      <w:r>
        <w:rPr>
          <w:rFonts w:hint="eastAsia" w:ascii="宋体" w:hAnsi="宋体"/>
          <w:sz w:val="24"/>
          <w:szCs w:val="24"/>
        </w:rPr>
        <w:t>四、其它须说明材料。</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60" w:lineRule="exact"/>
        <w:ind w:firstLine="480" w:firstLineChars="200"/>
        <w:jc w:val="left"/>
        <w:rPr>
          <w:rFonts w:asciiTheme="minorEastAsia" w:hAnsiTheme="minorEastAsia"/>
          <w:sz w:val="24"/>
          <w:szCs w:val="24"/>
        </w:rPr>
      </w:pPr>
      <w:r>
        <w:rPr>
          <w:rFonts w:ascii="宋体" w:hAnsi="宋体"/>
          <w:sz w:val="24"/>
          <w:szCs w:val="24"/>
        </w:rPr>
        <w:t>1</w:t>
      </w:r>
      <w:r>
        <w:rPr>
          <w:rFonts w:hint="eastAsia" w:ascii="宋体" w:hAnsi="宋体"/>
          <w:sz w:val="24"/>
          <w:szCs w:val="24"/>
        </w:rPr>
        <w:t>．</w:t>
      </w: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愿意</w:t>
      </w:r>
      <w:r>
        <w:rPr>
          <w:rFonts w:asciiTheme="minorEastAsia" w:hAnsiTheme="minorEastAsia"/>
          <w:sz w:val="24"/>
          <w:szCs w:val="24"/>
        </w:rPr>
        <w:t>以</w:t>
      </w:r>
      <w:r>
        <w:rPr>
          <w:rFonts w:hint="eastAsia" w:asciiTheme="minorEastAsia" w:hAnsiTheme="minorEastAsia"/>
          <w:sz w:val="24"/>
          <w:szCs w:val="24"/>
          <w:u w:val="single"/>
        </w:rPr>
        <w:t xml:space="preserve">              </w:t>
      </w:r>
      <w:r>
        <w:rPr>
          <w:rFonts w:hint="eastAsia" w:asciiTheme="minorEastAsia" w:hAnsiTheme="minorEastAsia"/>
          <w:sz w:val="24"/>
          <w:szCs w:val="24"/>
        </w:rPr>
        <w:t>的报价（</w:t>
      </w:r>
      <w:r>
        <w:rPr>
          <w:rFonts w:asciiTheme="minorEastAsia" w:hAnsiTheme="minorEastAsia"/>
          <w:sz w:val="24"/>
          <w:szCs w:val="24"/>
        </w:rPr>
        <w:t>含税价</w:t>
      </w:r>
      <w:r>
        <w:rPr>
          <w:rFonts w:hint="eastAsia" w:asciiTheme="minorEastAsia" w:hAnsiTheme="minorEastAsia"/>
          <w:sz w:val="24"/>
          <w:szCs w:val="24"/>
        </w:rPr>
        <w:t>）</w:t>
      </w:r>
      <w:r>
        <w:rPr>
          <w:rFonts w:asciiTheme="minorEastAsia" w:hAnsiTheme="minorEastAsia"/>
          <w:sz w:val="24"/>
          <w:szCs w:val="24"/>
        </w:rPr>
        <w:t>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（4）资质材料；</w:t>
      </w:r>
    </w:p>
    <w:p>
      <w:pPr>
        <w:spacing w:line="460" w:lineRule="exact"/>
        <w:ind w:firstLine="480" w:firstLineChars="200"/>
        <w:jc w:val="left"/>
        <w:rPr>
          <w:rFonts w:ascii="宋体" w:hAnsi="宋体"/>
          <w:sz w:val="24"/>
          <w:szCs w:val="24"/>
        </w:rPr>
      </w:pPr>
      <w:r>
        <w:rPr>
          <w:rFonts w:hint="eastAsia" w:ascii="宋体" w:hAnsi="宋体"/>
          <w:sz w:val="24"/>
          <w:szCs w:val="24"/>
        </w:rPr>
        <w:t>（5）其它须说明材料。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w:t>
      </w:r>
      <w:r>
        <w:rPr>
          <w:rFonts w:hint="eastAsia" w:ascii="宋体" w:hAnsi="宋体"/>
          <w:sz w:val="24"/>
          <w:szCs w:val="24"/>
        </w:rPr>
        <w:t xml:space="preserve"> </w:t>
      </w:r>
      <w:r>
        <w:rPr>
          <w:rFonts w:ascii="宋体" w:hAnsi="宋体"/>
          <w:sz w:val="24"/>
          <w:szCs w:val="24"/>
        </w:rPr>
        <w:t>应</w:t>
      </w:r>
      <w:r>
        <w:rPr>
          <w:rFonts w:hint="eastAsia" w:ascii="宋体" w:hAnsi="宋体"/>
          <w:sz w:val="24"/>
          <w:szCs w:val="24"/>
        </w:rPr>
        <w:t xml:space="preserve"> </w:t>
      </w:r>
      <w:r>
        <w:rPr>
          <w:rFonts w:ascii="宋体" w:hAnsi="宋体"/>
          <w:sz w:val="24"/>
          <w:szCs w:val="24"/>
        </w:rPr>
        <w:t>商：</w:t>
      </w:r>
      <w:r>
        <w:rPr>
          <w:rFonts w:hint="eastAsia" w:ascii="宋体" w:hAnsi="宋体"/>
          <w:sz w:val="24"/>
          <w:szCs w:val="24"/>
          <w:u w:val="single"/>
        </w:rPr>
        <w:t xml:space="preserve">                                      </w:t>
      </w:r>
      <w:r>
        <w:rPr>
          <w:rFonts w:ascii="宋体" w:hAnsi="宋体"/>
          <w:sz w:val="24"/>
          <w:szCs w:val="24"/>
        </w:rPr>
        <w:t>（盖单位章）</w:t>
      </w:r>
    </w:p>
    <w:p>
      <w:pPr>
        <w:spacing w:line="460" w:lineRule="exact"/>
        <w:ind w:firstLine="1920" w:firstLineChars="800"/>
        <w:jc w:val="left"/>
        <w:rPr>
          <w:rFonts w:ascii="宋体" w:hAnsi="宋体"/>
          <w:sz w:val="24"/>
          <w:szCs w:val="24"/>
        </w:rPr>
      </w:pPr>
      <w:r>
        <w:rPr>
          <w:rFonts w:ascii="宋体" w:hAnsi="宋体"/>
          <w:sz w:val="24"/>
          <w:szCs w:val="24"/>
        </w:rPr>
        <w:t>法定代表人或其授权的代理人：</w:t>
      </w:r>
      <w:r>
        <w:rPr>
          <w:rFonts w:hint="eastAsia" w:ascii="宋体" w:hAnsi="宋体"/>
          <w:sz w:val="24"/>
          <w:szCs w:val="24"/>
          <w:u w:val="single"/>
        </w:rPr>
        <w:t xml:space="preserve">                        </w:t>
      </w:r>
      <w:r>
        <w:rPr>
          <w:rFonts w:ascii="宋体" w:hAnsi="宋体"/>
          <w:sz w:val="24"/>
          <w:szCs w:val="24"/>
        </w:rPr>
        <w:t>（签字）</w:t>
      </w:r>
    </w:p>
    <w:p>
      <w:pPr>
        <w:spacing w:line="460" w:lineRule="exact"/>
        <w:ind w:firstLine="1920" w:firstLineChars="800"/>
        <w:jc w:val="left"/>
        <w:rPr>
          <w:rFonts w:ascii="宋体" w:hAnsi="宋体"/>
          <w:sz w:val="24"/>
          <w:szCs w:val="24"/>
          <w:u w:val="single"/>
        </w:rPr>
      </w:pPr>
      <w:r>
        <w:rPr>
          <w:rFonts w:ascii="宋体" w:hAnsi="宋体"/>
          <w:sz w:val="24"/>
          <w:szCs w:val="24"/>
        </w:rPr>
        <w:t>地</w:t>
      </w:r>
      <w:r>
        <w:rPr>
          <w:rFonts w:hint="eastAsia" w:ascii="宋体" w:hAnsi="宋体"/>
          <w:sz w:val="24"/>
          <w:szCs w:val="24"/>
        </w:rPr>
        <w:t xml:space="preserve">    </w:t>
      </w:r>
      <w:r>
        <w:rPr>
          <w:rFonts w:ascii="宋体" w:hAnsi="宋体"/>
          <w:sz w:val="24"/>
          <w:szCs w:val="24"/>
        </w:rPr>
        <w:t>址：</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w:t>
      </w:r>
      <w:r>
        <w:rPr>
          <w:rFonts w:hint="eastAsia" w:ascii="宋体" w:hAnsi="宋体"/>
          <w:sz w:val="24"/>
          <w:szCs w:val="24"/>
          <w:u w:val="single"/>
        </w:rPr>
        <w:t xml:space="preserve">          </w:t>
      </w:r>
      <w:r>
        <w:rPr>
          <w:rFonts w:ascii="宋体" w:hAnsi="宋体"/>
          <w:sz w:val="24"/>
          <w:szCs w:val="24"/>
        </w:rPr>
        <w:t>（姓名）系</w:t>
      </w:r>
      <w:r>
        <w:rPr>
          <w:rFonts w:hint="eastAsia" w:ascii="宋体" w:hAnsi="宋体"/>
          <w:sz w:val="24"/>
          <w:szCs w:val="24"/>
          <w:u w:val="single"/>
        </w:rPr>
        <w:t xml:space="preserve">                       </w:t>
      </w:r>
      <w:r>
        <w:rPr>
          <w:rFonts w:ascii="宋体" w:hAnsi="宋体"/>
          <w:sz w:val="24"/>
          <w:szCs w:val="24"/>
        </w:rPr>
        <w:t>（供应商名称）的法定代表人，现委托</w:t>
      </w:r>
      <w:r>
        <w:rPr>
          <w:rFonts w:hint="eastAsia" w:ascii="宋体" w:hAnsi="宋体"/>
          <w:sz w:val="24"/>
          <w:szCs w:val="24"/>
          <w:u w:val="single"/>
        </w:rPr>
        <w:t xml:space="preserve">         </w:t>
      </w:r>
      <w:r>
        <w:rPr>
          <w:rFonts w:ascii="宋体" w:hAnsi="宋体"/>
          <w:sz w:val="24"/>
          <w:szCs w:val="24"/>
        </w:rPr>
        <w:t>（姓名）为我方代理人。代理人根据授权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u w:val="single"/>
        </w:rPr>
        <w:t xml:space="preserve">                     </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w:t>
      </w:r>
      <w:r>
        <w:rPr>
          <w:rFonts w:hint="eastAsia" w:ascii="宋体" w:hAnsi="宋体"/>
          <w:sz w:val="24"/>
          <w:szCs w:val="24"/>
          <w:u w:val="single"/>
        </w:rPr>
        <w:t xml:space="preserve">                              </w:t>
      </w:r>
      <w:r>
        <w:rPr>
          <w:rFonts w:ascii="宋体" w:hAnsi="宋体"/>
          <w:sz w:val="24"/>
          <w:szCs w:val="24"/>
        </w:rPr>
        <w:t>（盖单位章）</w:t>
      </w:r>
    </w:p>
    <w:p>
      <w:pPr>
        <w:spacing w:line="480" w:lineRule="exact"/>
        <w:ind w:firstLine="3000" w:firstLineChars="1250"/>
        <w:jc w:val="left"/>
        <w:rPr>
          <w:rFonts w:ascii="宋体" w:hAnsi="宋体"/>
          <w:sz w:val="24"/>
          <w:szCs w:val="24"/>
        </w:rPr>
      </w:pPr>
      <w:r>
        <w:rPr>
          <w:rFonts w:ascii="宋体" w:hAnsi="宋体"/>
          <w:sz w:val="24"/>
          <w:szCs w:val="24"/>
        </w:rPr>
        <w:t>法定代表人：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3000" w:firstLineChars="1250"/>
        <w:jc w:val="left"/>
        <w:rPr>
          <w:rFonts w:ascii="宋体" w:hAnsi="宋体"/>
          <w:sz w:val="24"/>
          <w:szCs w:val="24"/>
        </w:rPr>
      </w:pPr>
      <w:r>
        <w:rPr>
          <w:rFonts w:ascii="宋体" w:hAnsi="宋体"/>
          <w:sz w:val="24"/>
          <w:szCs w:val="24"/>
        </w:rPr>
        <w:t>委托代理人：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
    <w:p/>
    <w:p/>
    <w:p/>
    <w:p/>
    <w:p/>
    <w:p/>
    <w:p/>
    <w:p/>
    <w:p/>
    <w:p/>
    <w:p/>
    <w:p>
      <w:pPr>
        <w:jc w:val="center"/>
        <w:rPr>
          <w:rFonts w:ascii="宋体" w:hAnsi="宋体"/>
          <w:b/>
          <w:sz w:val="32"/>
          <w:szCs w:val="32"/>
        </w:rPr>
      </w:pPr>
      <w:r>
        <w:rPr>
          <w:rFonts w:hint="eastAsia" w:ascii="宋体" w:hAnsi="宋体"/>
          <w:b/>
          <w:sz w:val="32"/>
          <w:szCs w:val="32"/>
        </w:rPr>
        <w:t>三、法定代表人身份证明</w:t>
      </w:r>
    </w:p>
    <w:p>
      <w:pPr>
        <w:spacing w:line="480" w:lineRule="exact"/>
        <w:ind w:left="765"/>
        <w:rPr>
          <w:rFonts w:ascii="宋体" w:hAns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响应人名称：</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单位性质：</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地址：</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成立时间：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u w:val="single"/>
        </w:rPr>
        <w:t xml:space="preserve"> </w:t>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 xml:space="preserve">         </w:t>
      </w:r>
      <w:r>
        <w:rPr>
          <w:rFonts w:hint="eastAsia" w:ascii="宋体" w:hAnsi="宋体" w:cs="MingLiU"/>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经营期限：</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姓名：</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性别</w:t>
      </w:r>
      <w:r>
        <w:rPr>
          <w:rFonts w:hint="eastAsia" w:ascii="宋体" w:hAnsi="宋体" w:cs="MingLiU"/>
          <w:color w:val="000000"/>
          <w:spacing w:val="-1"/>
          <w:kern w:val="0"/>
          <w:sz w:val="24"/>
          <w:szCs w:val="24"/>
        </w:rPr>
        <w:t>：</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spacing w:val="-1"/>
          <w:kern w:val="0"/>
          <w:sz w:val="24"/>
          <w:szCs w:val="24"/>
        </w:rPr>
        <w:t>年</w:t>
      </w:r>
      <w:r>
        <w:rPr>
          <w:rFonts w:hint="eastAsia" w:ascii="宋体" w:hAnsi="宋体" w:cs="MingLiU"/>
          <w:color w:val="000000"/>
          <w:kern w:val="0"/>
          <w:sz w:val="24"/>
          <w:szCs w:val="24"/>
        </w:rPr>
        <w:t>龄：</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职务：</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系</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olor w:val="000000"/>
          <w:kern w:val="0"/>
          <w:sz w:val="24"/>
          <w:szCs w:val="24"/>
        </w:rPr>
        <w:t xml:space="preserve"> </w:t>
      </w:r>
      <w:r>
        <w:rPr>
          <w:rFonts w:hint="eastAsia" w:ascii="宋体" w:hAnsi="宋体" w:cs="MingLiU"/>
          <w:color w:val="000000"/>
          <w:kern w:val="0"/>
          <w:sz w:val="24"/>
          <w:szCs w:val="24"/>
        </w:rPr>
        <w:t>（响应人名称）的法定代表人。</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ind w:firstLine="480" w:firstLineChars="200"/>
        <w:jc w:val="left"/>
        <w:rPr>
          <w:rFonts w:ascii="宋体" w:hAnsi="宋体" w:cs="MingLiU"/>
          <w:color w:val="000000"/>
          <w:kern w:val="0"/>
          <w:sz w:val="24"/>
          <w:szCs w:val="24"/>
        </w:rPr>
      </w:pPr>
      <w:r>
        <w:rPr>
          <w:rFonts w:hint="eastAsia" w:ascii="宋体" w:hAnsi="宋体" w:cs="MingLiU"/>
          <w:color w:val="000000"/>
          <w:kern w:val="0"/>
          <w:sz w:val="24"/>
          <w:szCs w:val="24"/>
        </w:rPr>
        <w:t>特此证明。</w:t>
      </w:r>
    </w:p>
    <w:p>
      <w:pPr>
        <w:autoSpaceDE w:val="0"/>
        <w:autoSpaceDN w:val="0"/>
        <w:adjustRightInd w:val="0"/>
        <w:snapToGrid w:val="0"/>
        <w:spacing w:line="480" w:lineRule="exact"/>
        <w:jc w:val="left"/>
        <w:rPr>
          <w:rFonts w:ascii="宋体" w:hAnsi="宋体" w:cs="MingLiU"/>
          <w:color w:val="000000"/>
          <w:kern w:val="0"/>
          <w:sz w:val="24"/>
          <w:szCs w:val="24"/>
        </w:rPr>
      </w:pP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autoSpaceDE w:val="0"/>
        <w:autoSpaceDN w:val="0"/>
        <w:adjustRightInd w:val="0"/>
        <w:snapToGrid w:val="0"/>
        <w:spacing w:line="480" w:lineRule="exact"/>
        <w:jc w:val="left"/>
        <w:rPr>
          <w:rFonts w:ascii="宋体" w:hAnsi="宋体"/>
          <w:color w:val="000000"/>
          <w:kern w:val="0"/>
          <w:sz w:val="24"/>
          <w:szCs w:val="24"/>
        </w:rPr>
      </w:pPr>
    </w:p>
    <w:tbl>
      <w:tblPr>
        <w:tblStyle w:val="11"/>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法定代表人身份证正面复印件</w:t>
            </w:r>
          </w:p>
          <w:p>
            <w:pPr>
              <w:spacing w:line="520" w:lineRule="exact"/>
              <w:rPr>
                <w:rFonts w:ascii="宋体" w:hAnsi="宋体"/>
                <w:b/>
                <w:color w:val="000000"/>
              </w:rPr>
            </w:pPr>
          </w:p>
        </w:tc>
      </w:tr>
    </w:tbl>
    <w:p>
      <w:pPr>
        <w:rPr>
          <w:rFonts w:ascii="宋体" w:hAnsi="宋体"/>
          <w:vanish/>
        </w:rPr>
      </w:pPr>
    </w:p>
    <w:tbl>
      <w:tblPr>
        <w:tblStyle w:val="11"/>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color w:val="000000"/>
              </w:rPr>
            </w:pPr>
          </w:p>
          <w:p>
            <w:pPr>
              <w:spacing w:line="520" w:lineRule="exact"/>
              <w:ind w:firstLine="211" w:firstLineChars="100"/>
              <w:rPr>
                <w:rFonts w:ascii="宋体" w:hAnsi="宋体"/>
                <w:b/>
                <w:color w:val="000000"/>
              </w:rPr>
            </w:pPr>
            <w:r>
              <w:rPr>
                <w:rFonts w:hint="eastAsia" w:ascii="宋体" w:hAnsi="宋体"/>
                <w:b/>
                <w:color w:val="000000"/>
              </w:rPr>
              <w:t>法定代表人身份证背面复印件</w:t>
            </w:r>
          </w:p>
          <w:p>
            <w:pPr>
              <w:spacing w:line="520" w:lineRule="exact"/>
              <w:rPr>
                <w:rFonts w:ascii="宋体" w:hAnsi="宋体"/>
                <w:b/>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hint="eastAsia" w:ascii="宋体" w:hAnsi="宋体"/>
          <w:b/>
          <w:sz w:val="32"/>
          <w:szCs w:val="32"/>
        </w:rPr>
      </w:pPr>
    </w:p>
    <w:p>
      <w:pPr>
        <w:spacing w:line="276" w:lineRule="auto"/>
        <w:jc w:val="center"/>
        <w:rPr>
          <w:rFonts w:ascii="宋体" w:hAnsi="宋体"/>
          <w:b/>
          <w:sz w:val="32"/>
          <w:szCs w:val="32"/>
        </w:rPr>
      </w:pPr>
      <w:r>
        <w:rPr>
          <w:rFonts w:hint="eastAsia" w:ascii="宋体" w:hAnsi="宋体"/>
          <w:b/>
          <w:sz w:val="32"/>
          <w:szCs w:val="32"/>
        </w:rPr>
        <w:t>四、书面声明</w:t>
      </w:r>
    </w:p>
    <w:p>
      <w:pPr>
        <w:spacing w:line="460" w:lineRule="exact"/>
        <w:jc w:val="left"/>
        <w:rPr>
          <w:rFonts w:ascii="宋体" w:hAnsi="宋体"/>
          <w:sz w:val="24"/>
          <w:szCs w:val="24"/>
          <w:u w:val="single"/>
        </w:rPr>
      </w:pPr>
    </w:p>
    <w:p>
      <w:pPr>
        <w:spacing w:line="42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20" w:lineRule="exact"/>
        <w:ind w:firstLine="480" w:firstLineChars="200"/>
        <w:jc w:val="left"/>
        <w:rPr>
          <w:rFonts w:cs="宋体" w:asciiTheme="minorEastAsia" w:hAnsiTheme="minorEastAsia" w:eastAsiaTheme="minorEastAsia"/>
          <w:sz w:val="24"/>
          <w:szCs w:val="24"/>
        </w:rPr>
      </w:pP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我方承诺在</w:t>
      </w:r>
      <w:r>
        <w:rPr>
          <w:rFonts w:hint="eastAsia" w:cs="宋体" w:asciiTheme="minorEastAsia" w:hAnsiTheme="minorEastAsia" w:eastAsiaTheme="minorEastAsia"/>
          <w:sz w:val="24"/>
          <w:szCs w:val="24"/>
        </w:rPr>
        <w:t>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lang w:val="en-US" w:eastAsia="zh-CN"/>
        </w:rPr>
        <w:t>20</w:t>
      </w:r>
      <w:r>
        <w:rPr>
          <w:rFonts w:hint="eastAsia" w:cs="宋体" w:asciiTheme="minorEastAsia" w:hAnsiTheme="minorEastAsia" w:eastAsiaTheme="minorEastAsia"/>
          <w:sz w:val="24"/>
          <w:szCs w:val="24"/>
        </w:rPr>
        <w:t>年</w:t>
      </w:r>
      <w:r>
        <w:rPr>
          <w:rFonts w:hint="eastAsia" w:cs="宋体" w:asciiTheme="minorEastAsia" w:hAnsiTheme="minorEastAsia" w:eastAsiaTheme="minorEastAsia"/>
          <w:sz w:val="24"/>
          <w:szCs w:val="24"/>
          <w:lang w:val="en-US" w:eastAsia="zh-CN"/>
        </w:rPr>
        <w:t>7</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未</w:t>
      </w:r>
      <w:r>
        <w:rPr>
          <w:rFonts w:hint="eastAsia" w:asciiTheme="minorEastAsia" w:hAnsiTheme="minorEastAsia" w:eastAsiaTheme="minorEastAsia"/>
          <w:sz w:val="24"/>
          <w:szCs w:val="24"/>
        </w:rPr>
        <w:t>列入失信被执行人、重大税收违法案件当事人名单、无政府采购严重违法失信行为记录，且在人员、设备、资金、技术等方面具有相应的能力。</w:t>
      </w:r>
      <w:r>
        <w:rPr>
          <w:rFonts w:hint="eastAsia" w:cs="宋体" w:asciiTheme="minorEastAsia" w:hAnsiTheme="minorEastAsia" w:eastAsiaTheme="minorEastAsia"/>
          <w:sz w:val="24"/>
          <w:szCs w:val="24"/>
        </w:rPr>
        <w:t>若承诺与实事不符合，愿意承担相应责任。</w:t>
      </w:r>
    </w:p>
    <w:p>
      <w:pPr>
        <w:pStyle w:val="5"/>
        <w:spacing w:line="420" w:lineRule="exact"/>
      </w:pPr>
    </w:p>
    <w:p>
      <w:pPr>
        <w:pStyle w:val="5"/>
        <w:spacing w:line="420" w:lineRule="exact"/>
      </w:pPr>
    </w:p>
    <w:p>
      <w:pPr>
        <w:pStyle w:val="5"/>
        <w:spacing w:line="420" w:lineRule="exact"/>
      </w:pPr>
    </w:p>
    <w:p>
      <w:pPr>
        <w:pStyle w:val="5"/>
        <w:spacing w:line="420" w:lineRule="exact"/>
      </w:pPr>
    </w:p>
    <w:p>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hint="eastAsia" w:ascii="宋体" w:hAnsi="宋体" w:cs="MingLiU"/>
          <w:color w:val="000000"/>
          <w:kern w:val="0"/>
          <w:sz w:val="24"/>
          <w:szCs w:val="24"/>
        </w:rPr>
        <w:t>响应人：</w:t>
      </w: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w:t>
      </w:r>
      <w:r>
        <w:rPr>
          <w:rFonts w:hint="eastAsia" w:ascii="宋体" w:hAnsi="宋体" w:cs="MingLiU"/>
          <w:color w:val="000000"/>
          <w:kern w:val="0"/>
          <w:sz w:val="24"/>
          <w:szCs w:val="24"/>
        </w:rPr>
        <w:t>盖单位公章）</w:t>
      </w:r>
    </w:p>
    <w:p>
      <w:pPr>
        <w:autoSpaceDE w:val="0"/>
        <w:autoSpaceDN w:val="0"/>
        <w:adjustRightInd w:val="0"/>
        <w:snapToGrid w:val="0"/>
        <w:spacing w:line="480" w:lineRule="exact"/>
        <w:jc w:val="left"/>
        <w:rPr>
          <w:rFonts w:ascii="宋体" w:hAnsi="宋体" w:cs="MingLiU"/>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hint="eastAsia" w:ascii="宋体" w:hAnsi="宋体" w:cs="MingLiU"/>
          <w:color w:val="000000"/>
          <w:w w:val="200"/>
          <w:kern w:val="0"/>
          <w:sz w:val="24"/>
          <w:szCs w:val="24"/>
          <w:u w:val="single"/>
        </w:rPr>
        <w:t xml:space="preserve"> </w:t>
      </w:r>
      <w:r>
        <w:rPr>
          <w:rFonts w:hint="eastAsia" w:ascii="宋体" w:hAnsi="宋体"/>
          <w:color w:val="000000"/>
          <w:kern w:val="0"/>
          <w:sz w:val="24"/>
          <w:szCs w:val="24"/>
          <w:u w:val="single"/>
        </w:rPr>
        <w:tab/>
      </w:r>
      <w:r>
        <w:rPr>
          <w:rFonts w:hint="eastAsia" w:ascii="宋体" w:hAnsi="宋体" w:cs="MingLiU"/>
          <w:color w:val="000000"/>
          <w:spacing w:val="-1"/>
          <w:kern w:val="0"/>
          <w:sz w:val="24"/>
          <w:szCs w:val="24"/>
        </w:rPr>
        <w:t>年</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月</w:t>
      </w:r>
      <w:r>
        <w:rPr>
          <w:rFonts w:hint="eastAsia" w:ascii="宋体" w:hAnsi="宋体" w:cs="MingLiU"/>
          <w:color w:val="000000"/>
          <w:w w:val="200"/>
          <w:kern w:val="0"/>
          <w:sz w:val="24"/>
          <w:szCs w:val="24"/>
          <w:u w:val="single"/>
        </w:rPr>
        <w:t xml:space="preserve">   </w:t>
      </w:r>
      <w:r>
        <w:rPr>
          <w:rFonts w:hint="eastAsia" w:ascii="宋体" w:hAnsi="宋体" w:cs="MingLiU"/>
          <w:color w:val="000000"/>
          <w:kern w:val="0"/>
          <w:sz w:val="24"/>
          <w:szCs w:val="24"/>
        </w:rPr>
        <w:t>日</w:t>
      </w:r>
    </w:p>
    <w:p>
      <w:pPr>
        <w:pStyle w:val="5"/>
      </w:pPr>
    </w:p>
    <w:p>
      <w:pPr>
        <w:pStyle w:val="5"/>
      </w:pPr>
    </w:p>
    <w:p>
      <w:pPr>
        <w:spacing w:line="276" w:lineRule="auto"/>
        <w:rPr>
          <w:rFonts w:ascii="宋体" w:hAnsi="宋体" w:cs="宋体"/>
          <w:b/>
          <w:bCs/>
          <w:sz w:val="28"/>
          <w:szCs w:val="28"/>
        </w:rPr>
      </w:pPr>
    </w:p>
    <w:p>
      <w:pPr>
        <w:pStyle w:val="5"/>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spacing w:line="276" w:lineRule="auto"/>
        <w:rPr>
          <w:rFonts w:ascii="宋体"/>
          <w:b/>
          <w:bCs/>
          <w:color w:val="000000"/>
          <w:sz w:val="28"/>
          <w:szCs w:val="28"/>
        </w:rPr>
      </w:pPr>
      <w:r>
        <w:rPr>
          <w:rFonts w:hint="eastAsia" w:ascii="宋体"/>
          <w:b/>
          <w:bCs/>
          <w:color w:val="000000"/>
          <w:sz w:val="28"/>
          <w:szCs w:val="28"/>
        </w:rPr>
        <w:t>五、资质材料。</w:t>
      </w:r>
    </w:p>
    <w:p>
      <w:pPr>
        <w:spacing w:line="276" w:lineRule="auto"/>
        <w:rPr>
          <w:rFonts w:ascii="宋体"/>
          <w:b/>
          <w:bCs/>
          <w:color w:val="000000"/>
          <w:sz w:val="28"/>
          <w:szCs w:val="28"/>
        </w:rPr>
      </w:pPr>
      <w:r>
        <w:rPr>
          <w:rFonts w:hint="eastAsia" w:ascii="宋体"/>
          <w:b/>
          <w:bCs/>
          <w:color w:val="000000"/>
          <w:sz w:val="28"/>
          <w:szCs w:val="28"/>
        </w:rPr>
        <w:t>六、其它须说明材料。</w:t>
      </w:r>
    </w:p>
    <w:p>
      <w:pPr>
        <w:spacing w:line="276" w:lineRule="auto"/>
        <w:rPr>
          <w:rFonts w:ascii="宋体"/>
          <w:b/>
          <w:bCs/>
          <w:color w:val="000000"/>
          <w:sz w:val="28"/>
          <w:szCs w:val="28"/>
        </w:rPr>
      </w:pPr>
      <w:r>
        <w:rPr>
          <w:rFonts w:hint="eastAsia" w:ascii="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altName w:val="Arial Unicode MS"/>
    <w:panose1 w:val="00000000000000000000"/>
    <w:charset w:val="86"/>
    <w:family w:val="auto"/>
    <w:pitch w:val="default"/>
    <w:sig w:usb0="00000000" w:usb1="00000000" w:usb2="00000012"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cs="宋体"/>
      </w:rPr>
      <w:t>第</w:t>
    </w:r>
    <w:r>
      <w:fldChar w:fldCharType="begin"/>
    </w:r>
    <w:r>
      <w:instrText xml:space="preserve"> PAGE   \* MERGEFORMAT </w:instrText>
    </w:r>
    <w:r>
      <w:fldChar w:fldCharType="separate"/>
    </w:r>
    <w:r>
      <w:rPr>
        <w:lang w:val="zh-CN"/>
      </w:rPr>
      <w:t>1</w:t>
    </w:r>
    <w:r>
      <w:rPr>
        <w:lang w:val="zh-CN"/>
      </w:rPr>
      <w:fldChar w:fldCharType="end"/>
    </w:r>
    <w:r>
      <w:rPr>
        <w:rFonts w:hint="eastAsia" w:cs="宋体"/>
      </w:rPr>
      <w:t>页，共</w:t>
    </w:r>
    <w:r>
      <w:rPr>
        <w:rFonts w:hint="eastAsia"/>
        <w:lang w:val="en-US" w:eastAsia="zh-CN"/>
      </w:rPr>
      <w:t>18</w:t>
    </w:r>
    <w:r>
      <w:rPr>
        <w:rFonts w:hint="eastAsia" w:cs="宋体"/>
      </w:rPr>
      <w:t>页</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B7DC4"/>
    <w:multiLevelType w:val="singleLevel"/>
    <w:tmpl w:val="8A4B7D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kOGE1MzQ3ZGZhODFhNGY0YzQzZDVmMWMxNjBkNGIifQ=="/>
  </w:docVars>
  <w:rsids>
    <w:rsidRoot w:val="001E0DAD"/>
    <w:rsid w:val="00026C12"/>
    <w:rsid w:val="00037050"/>
    <w:rsid w:val="000A42BE"/>
    <w:rsid w:val="0018304E"/>
    <w:rsid w:val="001E0DAD"/>
    <w:rsid w:val="002407DB"/>
    <w:rsid w:val="002A708B"/>
    <w:rsid w:val="002D53CD"/>
    <w:rsid w:val="003F1CCF"/>
    <w:rsid w:val="00416E15"/>
    <w:rsid w:val="005615C0"/>
    <w:rsid w:val="005848C4"/>
    <w:rsid w:val="00636E6D"/>
    <w:rsid w:val="006C2D73"/>
    <w:rsid w:val="00734257"/>
    <w:rsid w:val="00774D86"/>
    <w:rsid w:val="00786C6F"/>
    <w:rsid w:val="00985A04"/>
    <w:rsid w:val="00B737D2"/>
    <w:rsid w:val="00BC3836"/>
    <w:rsid w:val="00BC5086"/>
    <w:rsid w:val="00BD6369"/>
    <w:rsid w:val="00C87038"/>
    <w:rsid w:val="00CF276F"/>
    <w:rsid w:val="00DA6D33"/>
    <w:rsid w:val="00DB7FB6"/>
    <w:rsid w:val="00EF765F"/>
    <w:rsid w:val="1356649D"/>
    <w:rsid w:val="16B17D59"/>
    <w:rsid w:val="3D761C6E"/>
    <w:rsid w:val="47816AD6"/>
    <w:rsid w:val="4B8052C1"/>
    <w:rsid w:val="4DDB1FD4"/>
    <w:rsid w:val="62FF3123"/>
    <w:rsid w:val="66981EFC"/>
    <w:rsid w:val="7149111D"/>
    <w:rsid w:val="73F06811"/>
    <w:rsid w:val="79E5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napToGrid w:val="0"/>
      <w:spacing w:line="360" w:lineRule="auto"/>
      <w:ind w:firstLine="420"/>
    </w:pPr>
    <w:rPr>
      <w:sz w:val="24"/>
      <w:szCs w:val="20"/>
    </w:rPr>
  </w:style>
  <w:style w:type="paragraph" w:styleId="4">
    <w:name w:val="annotation text"/>
    <w:basedOn w:val="1"/>
    <w:link w:val="17"/>
    <w:qFormat/>
    <w:uiPriority w:val="0"/>
    <w:pPr>
      <w:jc w:val="left"/>
    </w:pPr>
  </w:style>
  <w:style w:type="paragraph" w:styleId="5">
    <w:name w:val="Body Text"/>
    <w:basedOn w:val="1"/>
    <w:qFormat/>
    <w:uiPriority w:val="99"/>
    <w:rPr>
      <w:rFonts w:ascii="宋体" w:hAnsi="宋体" w:cs="宋体"/>
      <w:sz w:val="28"/>
      <w:szCs w:val="28"/>
    </w:rPr>
  </w:style>
  <w:style w:type="paragraph" w:styleId="6">
    <w:name w:val="Body Text Indent"/>
    <w:basedOn w:val="1"/>
    <w:qFormat/>
    <w:uiPriority w:val="99"/>
    <w:pPr>
      <w:spacing w:after="120"/>
      <w:ind w:left="420" w:leftChars="200"/>
    </w:pPr>
  </w:style>
  <w:style w:type="paragraph" w:styleId="7">
    <w:name w:val="Balloon Text"/>
    <w:basedOn w:val="1"/>
    <w:link w:val="19"/>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8"/>
    <w:qFormat/>
    <w:uiPriority w:val="0"/>
    <w:rPr>
      <w:b/>
      <w:bCs/>
    </w:rPr>
  </w:style>
  <w:style w:type="character" w:styleId="13">
    <w:name w:val="Hyperlink"/>
    <w:basedOn w:val="12"/>
    <w:qFormat/>
    <w:uiPriority w:val="0"/>
    <w:rPr>
      <w:color w:val="0563C1" w:themeColor="hyperlink"/>
      <w:u w:val="single"/>
      <w14:textFill>
        <w14:solidFill>
          <w14:schemeClr w14:val="hlink"/>
        </w14:solidFill>
      </w14:textFill>
    </w:rPr>
  </w:style>
  <w:style w:type="character" w:styleId="14">
    <w:name w:val="annotation reference"/>
    <w:basedOn w:val="12"/>
    <w:qFormat/>
    <w:uiPriority w:val="99"/>
    <w:rPr>
      <w:sz w:val="21"/>
      <w:szCs w:val="21"/>
    </w:rPr>
  </w:style>
  <w:style w:type="paragraph" w:styleId="15">
    <w:name w:val="List Paragraph"/>
    <w:basedOn w:val="1"/>
    <w:qFormat/>
    <w:uiPriority w:val="34"/>
    <w:pPr>
      <w:ind w:firstLine="420" w:firstLineChars="200"/>
    </w:pPr>
    <w:rPr>
      <w:szCs w:val="24"/>
    </w:rPr>
  </w:style>
  <w:style w:type="paragraph" w:customStyle="1" w:styleId="16">
    <w:name w:val="图例"/>
    <w:basedOn w:val="1"/>
    <w:qFormat/>
    <w:uiPriority w:val="0"/>
    <w:pPr>
      <w:spacing w:before="120" w:after="120" w:line="360" w:lineRule="auto"/>
      <w:jc w:val="center"/>
    </w:pPr>
    <w:rPr>
      <w:rFonts w:eastAsia="仿宋_GB2312"/>
      <w:b/>
      <w:sz w:val="24"/>
      <w:szCs w:val="20"/>
    </w:rPr>
  </w:style>
  <w:style w:type="character" w:customStyle="1" w:styleId="17">
    <w:name w:val="批注文字 字符"/>
    <w:basedOn w:val="12"/>
    <w:link w:val="4"/>
    <w:qFormat/>
    <w:uiPriority w:val="0"/>
    <w:rPr>
      <w:rFonts w:ascii="Times New Roman" w:hAnsi="Times New Roman" w:eastAsia="宋体" w:cs="Times New Roman"/>
      <w:kern w:val="2"/>
      <w:sz w:val="21"/>
      <w:szCs w:val="21"/>
    </w:rPr>
  </w:style>
  <w:style w:type="character" w:customStyle="1" w:styleId="18">
    <w:name w:val="批注主题 字符"/>
    <w:basedOn w:val="17"/>
    <w:link w:val="10"/>
    <w:qFormat/>
    <w:uiPriority w:val="0"/>
    <w:rPr>
      <w:rFonts w:ascii="Times New Roman" w:hAnsi="Times New Roman" w:eastAsia="宋体" w:cs="Times New Roman"/>
      <w:b/>
      <w:bCs/>
      <w:kern w:val="2"/>
      <w:sz w:val="21"/>
      <w:szCs w:val="21"/>
    </w:rPr>
  </w:style>
  <w:style w:type="character" w:customStyle="1" w:styleId="19">
    <w:name w:val="批注框文本 字符"/>
    <w:basedOn w:val="12"/>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1409</Words>
  <Characters>8035</Characters>
  <Lines>66</Lines>
  <Paragraphs>18</Paragraphs>
  <TotalTime>19</TotalTime>
  <ScaleCrop>false</ScaleCrop>
  <LinksUpToDate>false</LinksUpToDate>
  <CharactersWithSpaces>9426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2023-09-14T08:44:00Z</dcterms:created>
  <dc:creator>Administrator</dc:creator>
  <cp:lastModifiedBy>QY~勇</cp:lastModifiedBy>
  <dcterms:modified xsi:type="dcterms:W3CDTF">2023-09-22T07:21:14Z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688FDB0D37CB409B822C1B2D08868A43_12</vt:lpwstr>
  </property>
</Properties>
</file>