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rFonts w:hint="eastAsia"/>
          <w:b/>
          <w:sz w:val="32"/>
          <w:szCs w:val="32"/>
          <w:u w:val="single"/>
        </w:rPr>
      </w:pPr>
      <w:r>
        <w:rPr>
          <w:rFonts w:hint="eastAsia"/>
          <w:b/>
          <w:sz w:val="32"/>
          <w:szCs w:val="32"/>
        </w:rPr>
        <w:t>项目名称：</w:t>
      </w:r>
      <w:r>
        <w:rPr>
          <w:rFonts w:hint="eastAsia"/>
          <w:b/>
          <w:sz w:val="32"/>
          <w:szCs w:val="32"/>
          <w:u w:val="single"/>
        </w:rPr>
        <w:t xml:space="preserve"> 重钢总医院国家排污许可证例行监测及</w:t>
      </w:r>
    </w:p>
    <w:p>
      <w:pPr>
        <w:spacing w:line="800" w:lineRule="exact"/>
        <w:jc w:val="center"/>
        <w:rPr>
          <w:sz w:val="28"/>
          <w:szCs w:val="28"/>
          <w:u w:val="single"/>
        </w:rPr>
      </w:pPr>
      <w:r>
        <w:rPr>
          <w:rFonts w:hint="eastAsia"/>
          <w:b/>
          <w:sz w:val="32"/>
          <w:szCs w:val="32"/>
          <w:u w:val="single"/>
        </w:rPr>
        <w:t>二三门诊废水送样监测项目</w:t>
      </w:r>
    </w:p>
    <w:p>
      <w:pPr>
        <w:spacing w:line="800" w:lineRule="exact"/>
        <w:jc w:val="center"/>
        <w:rPr>
          <w:sz w:val="28"/>
          <w:szCs w:val="28"/>
        </w:rPr>
      </w:pPr>
      <w:r>
        <w:rPr>
          <w:rFonts w:hint="eastAsia"/>
          <w:sz w:val="28"/>
          <w:szCs w:val="28"/>
        </w:rPr>
        <w:t>（项目编号：</w:t>
      </w:r>
      <w:r>
        <w:rPr>
          <w:rFonts w:hint="eastAsia"/>
          <w:sz w:val="28"/>
          <w:szCs w:val="28"/>
          <w:u w:val="single"/>
          <w:lang w:val="en-US" w:eastAsia="zh-CN"/>
        </w:rPr>
        <w:t xml:space="preserve">    </w:t>
      </w:r>
      <w:r>
        <w:rPr>
          <w:sz w:val="28"/>
          <w:szCs w:val="28"/>
          <w:u w:val="single"/>
        </w:rPr>
        <w:t>CGZYYCG2023</w:t>
      </w:r>
      <w:r>
        <w:rPr>
          <w:rFonts w:hint="eastAsia"/>
          <w:sz w:val="28"/>
          <w:szCs w:val="28"/>
          <w:u w:val="single"/>
        </w:rPr>
        <w:t>30</w:t>
      </w:r>
      <w:r>
        <w:rPr>
          <w:rFonts w:hint="eastAsia"/>
          <w:sz w:val="28"/>
          <w:szCs w:val="28"/>
          <w:u w:val="single"/>
          <w:lang w:val="en-US" w:eastAsia="zh-CN"/>
        </w:rPr>
        <w:t xml:space="preserve">    </w:t>
      </w:r>
      <w:r>
        <w:rPr>
          <w:rFonts w:hint="eastAsia"/>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sz w:val="28"/>
          <w:szCs w:val="28"/>
        </w:rPr>
        <w:t>项目业主：</w:t>
      </w:r>
      <w:r>
        <w:rPr>
          <w:rFonts w:hint="eastAsia" w:ascii="宋体" w:hAnsi="宋体"/>
          <w:sz w:val="28"/>
          <w:szCs w:val="28"/>
          <w:u w:val="single"/>
        </w:rPr>
        <w:t xml:space="preserve">    重钢总医院    </w:t>
      </w:r>
    </w:p>
    <w:p>
      <w:pPr>
        <w:spacing w:line="800" w:lineRule="exact"/>
        <w:jc w:val="center"/>
        <w:rPr>
          <w:rFonts w:ascii="宋体" w:hAnsi="宋体"/>
          <w:sz w:val="28"/>
          <w:szCs w:val="28"/>
        </w:rPr>
      </w:pPr>
      <w:r>
        <w:rPr>
          <w:rFonts w:hint="eastAsia" w:ascii="宋体" w:hAnsi="宋体"/>
          <w:sz w:val="28"/>
          <w:szCs w:val="28"/>
        </w:rPr>
        <w:t>202</w:t>
      </w:r>
      <w:r>
        <w:rPr>
          <w:rFonts w:ascii="宋体" w:hAnsi="宋体"/>
          <w:sz w:val="28"/>
          <w:szCs w:val="28"/>
        </w:rPr>
        <w:t>3</w:t>
      </w:r>
      <w:r>
        <w:rPr>
          <w:rFonts w:hint="eastAsia" w:ascii="宋体" w:hAnsi="宋体"/>
          <w:sz w:val="28"/>
          <w:szCs w:val="28"/>
        </w:rPr>
        <w:t>年9月</w:t>
      </w:r>
      <w:r>
        <w:rPr>
          <w:rFonts w:hint="eastAsia" w:ascii="宋体" w:hAnsi="宋体"/>
          <w:sz w:val="28"/>
          <w:szCs w:val="28"/>
          <w:lang w:val="en-US" w:eastAsia="zh-CN"/>
        </w:rPr>
        <w:t>22</w:t>
      </w:r>
      <w:r>
        <w:rPr>
          <w:rFonts w:hint="eastAsia" w:ascii="宋体" w:hAnsi="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5" w:type="first"/>
          <w:footerReference r:id="rId8" w:type="first"/>
          <w:headerReference r:id="rId3" w:type="default"/>
          <w:footerReference r:id="rId6" w:type="default"/>
          <w:headerReference r:id="rId4" w:type="even"/>
          <w:footerReference r:id="rId7" w:type="even"/>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hAnsi="宋体" w:cs="宋体"/>
          <w:b/>
          <w:bCs/>
          <w:sz w:val="24"/>
          <w:szCs w:val="24"/>
        </w:rPr>
      </w:pPr>
      <w:r>
        <w:rPr>
          <w:rFonts w:hint="eastAsia" w:ascii="宋体" w:hAnsi="宋体" w:cs="宋体"/>
          <w:b/>
          <w:bCs/>
          <w:sz w:val="24"/>
          <w:szCs w:val="24"/>
        </w:rPr>
        <w:t xml:space="preserve">第一章  </w:t>
      </w:r>
      <w:r>
        <w:rPr>
          <w:rFonts w:hint="eastAsia" w:ascii="宋体" w:hAnsi="宋体" w:cs="宋体"/>
          <w:b/>
          <w:bCs/>
          <w:sz w:val="24"/>
          <w:szCs w:val="24"/>
          <w:u w:val="single"/>
        </w:rPr>
        <w:t xml:space="preserve">  重钢总医院国家排污许可证例行监测及二三门诊废水送样监测项目  </w:t>
      </w:r>
      <w:r>
        <w:rPr>
          <w:rFonts w:hint="eastAsia" w:ascii="宋体" w:hAnsi="宋体" w:cs="宋体"/>
          <w:b/>
          <w:bCs/>
          <w:sz w:val="24"/>
          <w:szCs w:val="24"/>
        </w:rPr>
        <w:t>比选公告</w:t>
      </w:r>
    </w:p>
    <w:p>
      <w:pPr>
        <w:spacing w:line="420" w:lineRule="exact"/>
        <w:ind w:firstLine="480" w:firstLineChars="200"/>
        <w:jc w:val="left"/>
        <w:rPr>
          <w:rFonts w:ascii="宋体" w:hAnsi="宋体" w:cs="宋体"/>
          <w:sz w:val="24"/>
          <w:szCs w:val="24"/>
        </w:rPr>
      </w:pPr>
    </w:p>
    <w:p>
      <w:pPr>
        <w:spacing w:line="420" w:lineRule="exact"/>
        <w:ind w:firstLine="480" w:firstLineChars="200"/>
        <w:jc w:val="left"/>
        <w:rPr>
          <w:rFonts w:ascii="宋体" w:hAnsi="宋体" w:cs="宋体"/>
          <w:sz w:val="24"/>
          <w:szCs w:val="24"/>
        </w:rPr>
      </w:pPr>
      <w:r>
        <w:rPr>
          <w:rFonts w:hint="eastAsia" w:ascii="宋体" w:hAnsi="宋体" w:cs="宋体"/>
          <w:sz w:val="24"/>
          <w:szCs w:val="24"/>
        </w:rPr>
        <w:t>重钢总医院拟对重钢总医院国家排污许可证例行监测及二三门诊废水送样监测项目项目进行比选。欢迎有合法资质的单位前来参选。</w:t>
      </w:r>
    </w:p>
    <w:p>
      <w:pPr>
        <w:spacing w:line="420" w:lineRule="exact"/>
        <w:ind w:firstLine="482" w:firstLineChars="200"/>
        <w:jc w:val="left"/>
        <w:rPr>
          <w:rFonts w:ascii="宋体" w:hAnsi="宋体" w:cs="宋体"/>
          <w:sz w:val="24"/>
          <w:szCs w:val="24"/>
        </w:rPr>
      </w:pPr>
      <w:r>
        <w:rPr>
          <w:rFonts w:hint="eastAsia" w:ascii="宋体" w:hAnsi="宋体" w:cs="宋体"/>
          <w:b/>
          <w:bCs/>
          <w:sz w:val="24"/>
          <w:szCs w:val="24"/>
        </w:rPr>
        <w:t>一、项目名称</w:t>
      </w:r>
      <w:r>
        <w:rPr>
          <w:rFonts w:hint="eastAsia" w:ascii="宋体" w:hAnsi="宋体" w:cs="宋体"/>
          <w:sz w:val="24"/>
          <w:szCs w:val="24"/>
        </w:rPr>
        <w:t>：重钢总医院国家排污许可证例行监测及二三门诊废水送样监测项目</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二、项目地点：</w:t>
      </w:r>
      <w:r>
        <w:rPr>
          <w:rFonts w:hint="eastAsia" w:ascii="宋体" w:hAnsi="宋体" w:cs="宋体"/>
          <w:bCs/>
          <w:sz w:val="24"/>
          <w:szCs w:val="24"/>
        </w:rPr>
        <w:t>重钢总医院。</w:t>
      </w:r>
    </w:p>
    <w:p>
      <w:pPr>
        <w:spacing w:line="420" w:lineRule="exact"/>
        <w:ind w:firstLine="482" w:firstLineChars="200"/>
        <w:rPr>
          <w:rFonts w:ascii="宋体" w:hAnsi="宋体" w:cs="宋体"/>
          <w:bCs/>
          <w:sz w:val="24"/>
          <w:szCs w:val="24"/>
        </w:rPr>
      </w:pPr>
      <w:r>
        <w:rPr>
          <w:rFonts w:hint="eastAsia" w:ascii="宋体" w:hAnsi="宋体" w:cs="宋体"/>
          <w:b/>
          <w:bCs/>
          <w:sz w:val="24"/>
          <w:szCs w:val="24"/>
        </w:rPr>
        <w:t>三、服务周期：</w:t>
      </w:r>
      <w:r>
        <w:rPr>
          <w:rFonts w:hint="eastAsia" w:ascii="宋体" w:hAnsi="宋体" w:cs="宋体"/>
          <w:bCs/>
          <w:sz w:val="24"/>
          <w:szCs w:val="24"/>
        </w:rPr>
        <w:t>3年。</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四、服务内容：</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国家排污许可证例行监测</w:t>
      </w:r>
    </w:p>
    <w:p>
      <w:pPr>
        <w:numPr>
          <w:ilvl w:val="0"/>
          <w:numId w:val="1"/>
        </w:numPr>
        <w:spacing w:line="420" w:lineRule="exact"/>
        <w:ind w:firstLine="480" w:firstLineChars="200"/>
        <w:jc w:val="left"/>
        <w:rPr>
          <w:rFonts w:ascii="宋体" w:hAnsi="宋体" w:cs="宋体"/>
          <w:bCs/>
          <w:sz w:val="24"/>
          <w:szCs w:val="24"/>
        </w:rPr>
      </w:pPr>
      <w:r>
        <w:rPr>
          <w:rFonts w:hint="eastAsia" w:ascii="宋体" w:hAnsi="宋体" w:cs="宋体"/>
          <w:bCs/>
          <w:sz w:val="24"/>
          <w:szCs w:val="24"/>
        </w:rPr>
        <w:t>重钢总医院本部</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1、废水：</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每周1次：悬浮物、化学需氧量；</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每月1次：粪大肠菌群数；</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每季度1次：挥发酚、总氰化物、动植物油、五日生化需氧量、石油类、阴离子表面活性剂（LAS）。</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2、无组织排放：</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每季度1次：臭气浓度、硫化氢、氨、氯气、甲烷。</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（二）比选人所辖跃进村社区卫生服务中心、九宫庙社区卫生服务中心</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1、废水：</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每月1次：粪大肠杆菌群；</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每季度1次：沙门氏菌、志贺氏菌。</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（三）异常情况复检</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第（一）（二）项个别监测指标出现异常情况时，需要重新单次采样及监测。</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负责以上（一）（二）（三）项所有项目的采样、送样、监测、出具CMA检测报告。</w:t>
      </w:r>
    </w:p>
    <w:p>
      <w:pPr>
        <w:spacing w:line="420" w:lineRule="exact"/>
        <w:ind w:firstLine="482" w:firstLineChars="200"/>
        <w:rPr>
          <w:rFonts w:ascii="宋体" w:hAnsi="宋体" w:cs="宋体"/>
          <w:sz w:val="24"/>
          <w:szCs w:val="24"/>
        </w:rPr>
      </w:pPr>
      <w:r>
        <w:rPr>
          <w:rFonts w:hint="eastAsia" w:ascii="宋体" w:hAnsi="宋体" w:cs="宋体"/>
          <w:b/>
          <w:bCs/>
          <w:sz w:val="24"/>
          <w:szCs w:val="24"/>
        </w:rPr>
        <w:t>五、资格要求</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（一）</w:t>
      </w:r>
      <w:r>
        <w:rPr>
          <w:rFonts w:hint="eastAsia" w:ascii="宋体" w:hAnsi="宋体" w:cs="宋体"/>
          <w:bCs/>
          <w:sz w:val="24"/>
          <w:szCs w:val="24"/>
        </w:rPr>
        <w:t>具有独立承担民事责任的能力</w:t>
      </w:r>
      <w:r>
        <w:rPr>
          <w:rFonts w:hint="eastAsia" w:ascii="宋体" w:hAnsi="宋体" w:cs="宋体"/>
          <w:sz w:val="24"/>
          <w:szCs w:val="24"/>
        </w:rPr>
        <w:t>，</w:t>
      </w:r>
      <w:r>
        <w:rPr>
          <w:rFonts w:hint="eastAsia" w:ascii="宋体" w:hAnsi="宋体" w:cs="宋体"/>
          <w:color w:val="000000"/>
          <w:sz w:val="24"/>
          <w:szCs w:val="24"/>
        </w:rPr>
        <w:t>具有工商行政主管部门核发的有效工商营业执照且范围与本项目相适应</w:t>
      </w:r>
      <w:r>
        <w:rPr>
          <w:rFonts w:hint="eastAsia" w:ascii="宋体" w:hAnsi="宋体" w:cs="宋体"/>
          <w:sz w:val="24"/>
          <w:szCs w:val="24"/>
        </w:rPr>
        <w:t>，并在人员、设备、资金等方面具有相应的能力。（提供加盖响应人鲜章的营业执照复印件）。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rPr>
        <w:t>20年7月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日至今），在经营活动中没有重大违法记录。响应人提供书面声明。</w:t>
      </w:r>
    </w:p>
    <w:p>
      <w:pPr>
        <w:spacing w:line="420" w:lineRule="exact"/>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比选时比选人网上查询下列信息，若下列查询信息显示存在不良行为，比选人有权否决响应人的参选资格。</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1．信用中国网站（</w:t>
      </w:r>
      <w:r>
        <w:fldChar w:fldCharType="begin"/>
      </w:r>
      <w:r>
        <w:instrText xml:space="preserve"> HYPERLINK "http://www.creditchina.gov.cn" </w:instrText>
      </w:r>
      <w:r>
        <w:fldChar w:fldCharType="separate"/>
      </w:r>
      <w:r>
        <w:rPr>
          <w:rFonts w:cs="宋体" w:asciiTheme="minorEastAsia" w:hAnsiTheme="minorEastAsia" w:eastAsiaTheme="minorEastAsia"/>
          <w:sz w:val="24"/>
          <w:szCs w:val="24"/>
        </w:rPr>
        <w:t>www.creditchina.gov.cn</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）以下内容的查询结果网页（查询信息为响应人名称）</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“信用信息”查询结果。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“失信被执行人”查询结果。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“重大税收违法案件当事人名单”查询结果。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“政府行政许可与行政处罚”查询结果。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2．中国政府采购网（</w:t>
      </w:r>
      <w:r>
        <w:rPr>
          <w:rFonts w:cs="宋体" w:asciiTheme="minorEastAsia" w:hAnsiTheme="minorEastAsia" w:eastAsiaTheme="minorEastAsia"/>
          <w:sz w:val="24"/>
          <w:szCs w:val="24"/>
        </w:rPr>
        <w:t>www.ccgp.gov.cn</w:t>
      </w:r>
      <w:r>
        <w:rPr>
          <w:rFonts w:hint="eastAsia" w:cs="宋体" w:asciiTheme="minorEastAsia" w:hAnsiTheme="minorEastAsia" w:eastAsiaTheme="minorEastAsia"/>
          <w:sz w:val="24"/>
          <w:szCs w:val="24"/>
        </w:rPr>
        <w:t>）“政府采购严重违法失信行为记录名单”查询结果。</w:t>
      </w:r>
    </w:p>
    <w:p>
      <w:pPr>
        <w:spacing w:line="420" w:lineRule="exact"/>
        <w:ind w:firstLine="480" w:firstLineChars="200"/>
        <w:rPr>
          <w:rFonts w:ascii="宋体" w:cs="宋体"/>
          <w:sz w:val="24"/>
          <w:szCs w:val="24"/>
        </w:rPr>
      </w:pPr>
      <w:r>
        <w:rPr>
          <w:rFonts w:hint="eastAsia" w:ascii="宋体" w:cs="宋体"/>
          <w:sz w:val="24"/>
          <w:szCs w:val="24"/>
        </w:rPr>
        <w:t>（三）环保技术开发及技术咨询环保相关资质，通过检验检测机构资质认定，其中检验检测能力附表中必须具备本项目检测能力。</w:t>
      </w:r>
    </w:p>
    <w:p>
      <w:pPr>
        <w:spacing w:line="420" w:lineRule="exact"/>
        <w:ind w:firstLine="480" w:firstLineChars="200"/>
        <w:rPr>
          <w:rFonts w:ascii="宋体" w:cs="宋体"/>
          <w:sz w:val="24"/>
          <w:szCs w:val="24"/>
        </w:rPr>
      </w:pPr>
      <w:r>
        <w:rPr>
          <w:rFonts w:hint="eastAsia" w:ascii="宋体" w:cs="宋体"/>
          <w:sz w:val="24"/>
          <w:szCs w:val="24"/>
        </w:rPr>
        <w:t>（四）法律、行政法规规定的其他条件。</w:t>
      </w:r>
    </w:p>
    <w:p>
      <w:pPr>
        <w:spacing w:line="420" w:lineRule="exact"/>
        <w:ind w:firstLine="480" w:firstLineChars="200"/>
        <w:rPr>
          <w:rFonts w:ascii="宋体" w:cs="宋体"/>
          <w:sz w:val="24"/>
          <w:szCs w:val="24"/>
        </w:rPr>
      </w:pPr>
      <w:r>
        <w:rPr>
          <w:rFonts w:hint="eastAsia" w:ascii="宋体" w:cs="宋体"/>
          <w:sz w:val="24"/>
          <w:szCs w:val="24"/>
        </w:rPr>
        <w:t>（五）本次比选不接受联合体参与。</w:t>
      </w:r>
    </w:p>
    <w:p>
      <w:pPr>
        <w:spacing w:line="360" w:lineRule="auto"/>
        <w:ind w:firstLine="482" w:firstLineChars="200"/>
        <w:rPr>
          <w:rFonts w:ascii="宋体" w:hAnsi="宋体" w:cs="宋体"/>
          <w:sz w:val="24"/>
          <w:szCs w:val="24"/>
        </w:rPr>
      </w:pPr>
      <w:r>
        <w:rPr>
          <w:rFonts w:hint="eastAsia" w:ascii="宋体" w:hAnsi="宋体" w:cs="宋体"/>
          <w:b/>
          <w:bCs/>
          <w:sz w:val="24"/>
          <w:szCs w:val="24"/>
        </w:rPr>
        <w:t>六、现场踏勘</w:t>
      </w:r>
      <w:r>
        <w:rPr>
          <w:rFonts w:hint="eastAsia" w:ascii="宋体" w:hAnsi="宋体" w:cs="宋体"/>
          <w:sz w:val="24"/>
          <w:szCs w:val="24"/>
        </w:rPr>
        <w:t>：自行踏勘。</w:t>
      </w:r>
    </w:p>
    <w:p>
      <w:pPr>
        <w:spacing w:line="420" w:lineRule="exact"/>
        <w:ind w:firstLine="482" w:firstLineChars="200"/>
        <w:rPr>
          <w:rFonts w:ascii="宋体" w:hAnsi="宋体" w:cs="宋体"/>
          <w:sz w:val="24"/>
          <w:szCs w:val="24"/>
        </w:rPr>
      </w:pPr>
      <w:r>
        <w:rPr>
          <w:rFonts w:hint="eastAsia" w:ascii="宋体" w:hAnsi="宋体" w:cs="宋体"/>
          <w:b/>
          <w:bCs/>
          <w:sz w:val="24"/>
          <w:szCs w:val="24"/>
        </w:rPr>
        <w:t>七、比选时间、地点及文件获取</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（一）比选文件发布时间：</w:t>
      </w:r>
      <w:r>
        <w:rPr>
          <w:rFonts w:cs="宋体" w:asciiTheme="minorEastAsia" w:hAnsiTheme="minorEastAsia" w:eastAsiaTheme="minorEastAsia"/>
          <w:sz w:val="24"/>
          <w:szCs w:val="24"/>
        </w:rPr>
        <w:t>2023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22</w:t>
      </w:r>
      <w:r>
        <w:rPr>
          <w:rFonts w:hint="eastAsia" w:cs="宋体" w:asciiTheme="minorEastAsia" w:hAnsiTheme="minorEastAsia" w:eastAsiaTheme="minorEastAsia"/>
          <w:sz w:val="24"/>
          <w:szCs w:val="24"/>
        </w:rPr>
        <w:t>日。</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（二）比选时间：</w:t>
      </w:r>
      <w:r>
        <w:rPr>
          <w:rFonts w:cs="宋体" w:asciiTheme="minorEastAsia" w:hAnsiTheme="minorEastAsia" w:eastAsiaTheme="minorEastAsia"/>
          <w:sz w:val="24"/>
          <w:szCs w:val="24"/>
        </w:rPr>
        <w:t>2023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27</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eastAsia="zh-CN"/>
        </w:rPr>
        <w:t>上</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09</w:t>
      </w:r>
      <w:r>
        <w:rPr>
          <w:rFonts w:hint="eastAsia" w:cs="宋体" w:asciiTheme="minorEastAsia" w:hAnsiTheme="minorEastAsia" w:eastAsiaTheme="minorEastAsia"/>
          <w:sz w:val="24"/>
          <w:szCs w:val="24"/>
        </w:rPr>
        <w:t>:00时。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（三）比选文件获取方式：重钢总医院官网（</w:t>
      </w:r>
      <w:r>
        <w:fldChar w:fldCharType="begin"/>
      </w:r>
      <w:r>
        <w:instrText xml:space="preserve"> HYPERLINK "http://www.cghospital.com" </w:instrText>
      </w:r>
      <w:r>
        <w:fldChar w:fldCharType="separate"/>
      </w:r>
      <w:r>
        <w:rPr>
          <w:rFonts w:cs="宋体" w:asciiTheme="minorEastAsia" w:hAnsiTheme="minorEastAsia" w:eastAsiaTheme="minorEastAsia"/>
          <w:sz w:val="24"/>
          <w:szCs w:val="24"/>
        </w:rPr>
        <w:t>http://www.cghospital.com</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w:t>
      </w:r>
    </w:p>
    <w:p>
      <w:pPr>
        <w:spacing w:line="420" w:lineRule="exact"/>
        <w:ind w:firstLine="480" w:firstLineChars="200"/>
        <w:rPr>
          <w:rFonts w:ascii="宋体"/>
          <w:sz w:val="24"/>
          <w:szCs w:val="24"/>
        </w:rPr>
      </w:pPr>
      <w:r>
        <w:rPr>
          <w:rFonts w:hint="eastAsia" w:ascii="宋体" w:hAnsi="宋体" w:cs="宋体"/>
          <w:sz w:val="24"/>
          <w:szCs w:val="24"/>
        </w:rPr>
        <w:t>（四）响应文件递交截止时间：</w:t>
      </w:r>
      <w:r>
        <w:rPr>
          <w:rFonts w:ascii="宋体" w:hAnsi="宋体" w:cs="宋体"/>
          <w:sz w:val="24"/>
          <w:szCs w:val="24"/>
        </w:rPr>
        <w:t>2023</w:t>
      </w:r>
      <w:r>
        <w:rPr>
          <w:rFonts w:hint="eastAsia" w:ascii="宋体" w:hAnsi="宋体" w:cs="宋体"/>
          <w:sz w:val="24"/>
          <w:szCs w:val="24"/>
        </w:rPr>
        <w:t>年</w:t>
      </w:r>
      <w:r>
        <w:rPr>
          <w:rFonts w:hint="eastAsia" w:cs="宋体" w:asciiTheme="minorEastAsia" w:hAnsiTheme="minorEastAsia" w:eastAsiaTheme="minorEastAsia"/>
          <w:sz w:val="24"/>
          <w:szCs w:val="24"/>
          <w:lang w:val="en-US" w:eastAsia="zh-CN"/>
        </w:rPr>
        <w:t>9</w:t>
      </w:r>
      <w:r>
        <w:rPr>
          <w:rFonts w:hint="eastAsia" w:ascii="宋体" w:hAnsi="宋体" w:cs="宋体"/>
          <w:sz w:val="24"/>
          <w:szCs w:val="24"/>
        </w:rPr>
        <w:t>月</w:t>
      </w:r>
      <w:r>
        <w:rPr>
          <w:rFonts w:hint="eastAsia" w:cs="宋体" w:asciiTheme="minorEastAsia" w:hAnsiTheme="minorEastAsia" w:eastAsiaTheme="minorEastAsia"/>
          <w:sz w:val="24"/>
          <w:szCs w:val="24"/>
          <w:lang w:val="en-US" w:eastAsia="zh-CN"/>
        </w:rPr>
        <w:t>27</w:t>
      </w:r>
      <w:r>
        <w:rPr>
          <w:rFonts w:hint="eastAsia" w:ascii="宋体" w:hAnsi="宋体" w:cs="宋体"/>
          <w:sz w:val="24"/>
          <w:szCs w:val="24"/>
        </w:rPr>
        <w:t>日</w:t>
      </w:r>
      <w:r>
        <w:rPr>
          <w:rFonts w:hint="eastAsia" w:ascii="宋体" w:hAnsi="宋体" w:cs="宋体"/>
          <w:sz w:val="24"/>
          <w:szCs w:val="24"/>
          <w:lang w:eastAsia="zh-CN"/>
        </w:rPr>
        <w:t>上</w:t>
      </w:r>
      <w:r>
        <w:rPr>
          <w:rFonts w:hint="eastAsia" w:ascii="宋体" w:hAnsi="宋体" w:cs="宋体"/>
          <w:sz w:val="24"/>
          <w:szCs w:val="24"/>
        </w:rPr>
        <w:t>午</w:t>
      </w:r>
      <w:r>
        <w:rPr>
          <w:rFonts w:hint="eastAsia" w:ascii="宋体" w:hAnsi="宋体" w:cs="宋体"/>
          <w:sz w:val="24"/>
          <w:szCs w:val="24"/>
          <w:lang w:val="en-US" w:eastAsia="zh-CN"/>
        </w:rPr>
        <w:t>09</w:t>
      </w:r>
      <w:r>
        <w:rPr>
          <w:rFonts w:ascii="宋体" w:hAnsi="宋体" w:cs="宋体"/>
          <w:sz w:val="24"/>
          <w:szCs w:val="24"/>
        </w:rPr>
        <w:t>:00</w:t>
      </w:r>
      <w:r>
        <w:rPr>
          <w:rFonts w:hint="eastAsia" w:ascii="宋体" w:hAnsi="宋体" w:cs="宋体"/>
          <w:sz w:val="24"/>
          <w:szCs w:val="24"/>
        </w:rPr>
        <w:t>时。超过截止时间的恕不接受。</w:t>
      </w:r>
    </w:p>
    <w:p>
      <w:pPr>
        <w:spacing w:line="420" w:lineRule="exact"/>
        <w:ind w:firstLine="480" w:firstLineChars="200"/>
        <w:rPr>
          <w:rFonts w:ascii="宋体"/>
          <w:sz w:val="24"/>
          <w:szCs w:val="24"/>
        </w:rPr>
      </w:pPr>
      <w:r>
        <w:rPr>
          <w:rFonts w:hint="eastAsia" w:ascii="宋体" w:hAnsi="宋体" w:cs="宋体"/>
          <w:sz w:val="24"/>
          <w:szCs w:val="24"/>
        </w:rPr>
        <w:t>（五）响应文件递交地点：重钢总医院办公楼三楼一会议室。</w:t>
      </w:r>
    </w:p>
    <w:p>
      <w:pPr>
        <w:spacing w:line="440" w:lineRule="exact"/>
        <w:ind w:firstLine="480" w:firstLineChars="200"/>
        <w:rPr>
          <w:rFonts w:ascii="宋体"/>
          <w:b/>
          <w:bCs/>
          <w:sz w:val="24"/>
          <w:szCs w:val="24"/>
        </w:rPr>
      </w:pPr>
      <w:r>
        <w:rPr>
          <w:rFonts w:hint="eastAsia" w:ascii="宋体" w:hAnsi="宋体" w:cs="宋体"/>
          <w:sz w:val="24"/>
          <w:szCs w:val="24"/>
        </w:rPr>
        <w:t>如比选时间与比选方临时会议冲突，比选时间由比选方临时通知，响应文件递交截止时间以比选方临时通知为准。</w:t>
      </w:r>
    </w:p>
    <w:p>
      <w:pPr>
        <w:spacing w:line="440" w:lineRule="exact"/>
        <w:ind w:firstLine="482" w:firstLineChars="200"/>
        <w:rPr>
          <w:rFonts w:ascii="宋体"/>
          <w:sz w:val="24"/>
          <w:szCs w:val="24"/>
        </w:rPr>
      </w:pPr>
      <w:r>
        <w:rPr>
          <w:rFonts w:hint="eastAsia" w:ascii="宋体" w:hAnsi="宋体" w:cs="宋体"/>
          <w:b/>
          <w:bCs/>
          <w:sz w:val="24"/>
          <w:szCs w:val="24"/>
        </w:rPr>
        <w:t>八、联系人</w:t>
      </w:r>
    </w:p>
    <w:p>
      <w:pPr>
        <w:spacing w:line="420" w:lineRule="exact"/>
        <w:ind w:firstLine="480" w:firstLineChars="200"/>
        <w:rPr>
          <w:rFonts w:ascii="宋体" w:hAnsi="宋体" w:cs="宋体"/>
          <w:sz w:val="24"/>
          <w:szCs w:val="24"/>
        </w:rPr>
      </w:pPr>
      <w:r>
        <w:rPr>
          <w:rFonts w:hint="eastAsia" w:ascii="宋体" w:hAnsi="宋体" w:cs="宋体"/>
          <w:sz w:val="24"/>
          <w:szCs w:val="24"/>
        </w:rPr>
        <w:t>比选人：重钢总医院</w:t>
      </w:r>
    </w:p>
    <w:p>
      <w:pPr>
        <w:spacing w:line="420" w:lineRule="exact"/>
        <w:ind w:firstLine="480" w:firstLineChars="200"/>
        <w:rPr>
          <w:rFonts w:ascii="宋体"/>
          <w:sz w:val="24"/>
          <w:szCs w:val="24"/>
        </w:rPr>
      </w:pPr>
      <w:r>
        <w:rPr>
          <w:rFonts w:hint="eastAsia" w:ascii="宋体" w:hAnsi="宋体" w:cs="宋体"/>
          <w:sz w:val="24"/>
          <w:szCs w:val="24"/>
        </w:rPr>
        <w:t>地址：重庆市大渡口区</w:t>
      </w:r>
    </w:p>
    <w:p>
      <w:pPr>
        <w:spacing w:line="420" w:lineRule="exact"/>
        <w:ind w:firstLine="480" w:firstLineChars="200"/>
        <w:rPr>
          <w:rFonts w:ascii="宋体"/>
          <w:sz w:val="24"/>
          <w:szCs w:val="24"/>
        </w:rPr>
      </w:pPr>
      <w:r>
        <w:rPr>
          <w:rFonts w:hint="eastAsia" w:ascii="宋体" w:hAnsi="宋体" w:cs="宋体"/>
          <w:sz w:val="24"/>
          <w:szCs w:val="24"/>
        </w:rPr>
        <w:t>组织联系人：戚老师       联系电话：</w:t>
      </w:r>
      <w:r>
        <w:rPr>
          <w:rFonts w:ascii="宋体" w:hAnsi="宋体" w:cs="宋体"/>
          <w:sz w:val="24"/>
          <w:szCs w:val="24"/>
        </w:rPr>
        <w:t xml:space="preserve">023-81915031  </w:t>
      </w:r>
    </w:p>
    <w:p>
      <w:pPr>
        <w:spacing w:line="420" w:lineRule="exact"/>
        <w:ind w:firstLine="480" w:firstLineChars="200"/>
        <w:rPr>
          <w:rFonts w:ascii="宋体"/>
          <w:sz w:val="24"/>
          <w:szCs w:val="24"/>
        </w:rPr>
      </w:pPr>
      <w:r>
        <w:rPr>
          <w:rFonts w:hint="eastAsia" w:ascii="宋体" w:hAnsi="宋体" w:cs="宋体"/>
          <w:sz w:val="24"/>
          <w:szCs w:val="24"/>
        </w:rPr>
        <w:t>业务部门联系人：潘老师   联系电话：</w:t>
      </w:r>
      <w:r>
        <w:rPr>
          <w:rFonts w:ascii="宋体" w:hAnsi="宋体" w:cs="宋体"/>
          <w:sz w:val="24"/>
          <w:szCs w:val="24"/>
        </w:rPr>
        <w:t>023-81915</w:t>
      </w:r>
      <w:r>
        <w:rPr>
          <w:rFonts w:hint="eastAsia" w:ascii="宋体" w:hAnsi="宋体" w:cs="宋体"/>
          <w:sz w:val="24"/>
          <w:szCs w:val="24"/>
        </w:rPr>
        <w:t>204</w:t>
      </w: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jc w:val="center"/>
        <w:rPr>
          <w:rFonts w:ascii="宋体" w:hAnsi="宋体" w:cs="宋体"/>
          <w:b/>
          <w:bCs/>
          <w:color w:val="000000"/>
          <w:sz w:val="24"/>
          <w:szCs w:val="24"/>
        </w:rPr>
      </w:pPr>
    </w:p>
    <w:p>
      <w:pPr>
        <w:spacing w:line="420" w:lineRule="exact"/>
        <w:rPr>
          <w:rFonts w:ascii="宋体" w:hAnsi="宋体" w:cs="宋体"/>
          <w:b/>
          <w:bCs/>
          <w:color w:val="000000"/>
          <w:sz w:val="24"/>
          <w:szCs w:val="24"/>
        </w:rPr>
      </w:pPr>
    </w:p>
    <w:p>
      <w:pPr>
        <w:spacing w:line="420" w:lineRule="exact"/>
        <w:jc w:val="center"/>
        <w:rPr>
          <w:rFonts w:ascii="宋体" w:hAnsi="宋体"/>
          <w:b/>
          <w:bCs/>
          <w:color w:val="000000"/>
          <w:sz w:val="24"/>
          <w:szCs w:val="24"/>
        </w:rPr>
      </w:pPr>
      <w:r>
        <w:rPr>
          <w:rFonts w:hint="eastAsia" w:ascii="宋体" w:hAnsi="宋体" w:cs="宋体"/>
          <w:b/>
          <w:bCs/>
          <w:color w:val="000000"/>
          <w:sz w:val="24"/>
          <w:szCs w:val="24"/>
        </w:rPr>
        <w:t>第二章响应人须知</w:t>
      </w:r>
    </w:p>
    <w:p>
      <w:pPr>
        <w:spacing w:line="420" w:lineRule="exact"/>
        <w:jc w:val="left"/>
        <w:rPr>
          <w:rFonts w:ascii="宋体" w:hAnsi="宋体" w:cs="宋体"/>
          <w:b/>
          <w:bCs/>
          <w:sz w:val="24"/>
          <w:szCs w:val="24"/>
        </w:rPr>
      </w:pPr>
    </w:p>
    <w:p>
      <w:pPr>
        <w:spacing w:line="420" w:lineRule="exact"/>
        <w:ind w:firstLine="482" w:firstLineChars="200"/>
        <w:jc w:val="left"/>
        <w:rPr>
          <w:rFonts w:ascii="宋体" w:hAnsi="宋体" w:cs="宋体"/>
          <w:sz w:val="24"/>
          <w:szCs w:val="24"/>
        </w:rPr>
      </w:pPr>
      <w:r>
        <w:rPr>
          <w:rFonts w:hint="eastAsia" w:ascii="宋体" w:hAnsi="宋体" w:cs="宋体"/>
          <w:b/>
          <w:bCs/>
          <w:sz w:val="24"/>
          <w:szCs w:val="24"/>
        </w:rPr>
        <w:t>一、项目名称</w:t>
      </w:r>
      <w:r>
        <w:rPr>
          <w:rFonts w:hint="eastAsia" w:ascii="宋体" w:hAnsi="宋体" w:cs="宋体"/>
          <w:sz w:val="24"/>
          <w:szCs w:val="24"/>
        </w:rPr>
        <w:t>：重钢总医院国家排污许可证例行监测及二三门诊废水送样监测项目</w:t>
      </w:r>
    </w:p>
    <w:p>
      <w:pPr>
        <w:spacing w:line="420" w:lineRule="exact"/>
        <w:ind w:firstLine="482" w:firstLineChars="200"/>
        <w:rPr>
          <w:rFonts w:ascii="宋体" w:hAnsi="宋体"/>
          <w:sz w:val="24"/>
          <w:szCs w:val="24"/>
        </w:rPr>
      </w:pPr>
      <w:r>
        <w:rPr>
          <w:rFonts w:hint="eastAsia" w:ascii="宋体" w:hAnsi="宋体" w:cs="宋体"/>
          <w:b/>
          <w:bCs/>
          <w:sz w:val="24"/>
          <w:szCs w:val="24"/>
        </w:rPr>
        <w:t>二、比选报价、限价、评分说明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（一）报价说明：</w:t>
      </w:r>
    </w:p>
    <w:p>
      <w:pPr>
        <w:spacing w:line="480" w:lineRule="exact"/>
        <w:ind w:firstLine="482" w:firstLineChars="200"/>
        <w:rPr>
          <w:rFonts w:ascii="宋体" w:hAnsi="宋体" w:cs="宋体"/>
          <w:sz w:val="24"/>
          <w:szCs w:val="24"/>
        </w:rPr>
      </w:pPr>
      <w:r>
        <w:rPr>
          <w:rFonts w:hint="eastAsia" w:ascii="宋体" w:hAnsi="宋体" w:cs="宋体"/>
          <w:b/>
          <w:sz w:val="24"/>
          <w:szCs w:val="24"/>
        </w:rPr>
        <w:t>本次比选有二次报价</w:t>
      </w:r>
      <w:r>
        <w:rPr>
          <w:rFonts w:hint="eastAsia" w:ascii="宋体" w:hAnsi="宋体" w:cs="宋体"/>
          <w:sz w:val="24"/>
          <w:szCs w:val="24"/>
        </w:rPr>
        <w:t>，以总价报价的形式进行报价，报价单位为元，报价最多保留小数点后两位。报价包含完成该项目所需的人工费、材料费、施工机具使用费、利润、风险费、税金等所有费用。大写金额与小写金额不一致的，以大写金额为准</w:t>
      </w:r>
      <w:r>
        <w:rPr>
          <w:rFonts w:ascii="宋体" w:hAnsi="宋体" w:cs="宋体"/>
          <w:sz w:val="24"/>
          <w:szCs w:val="24"/>
        </w:rPr>
        <w:t>。</w:t>
      </w:r>
    </w:p>
    <w:p>
      <w:pPr>
        <w:spacing w:line="480" w:lineRule="exact"/>
        <w:ind w:firstLine="480" w:firstLineChars="200"/>
        <w:rPr>
          <w:rFonts w:ascii="宋体" w:hAnsi="宋体" w:cs="宋体"/>
          <w:sz w:val="24"/>
          <w:szCs w:val="24"/>
        </w:rPr>
      </w:pPr>
      <w:r>
        <w:rPr>
          <w:rFonts w:hint="eastAsia" w:ascii="宋体" w:hAnsi="宋体" w:cs="宋体"/>
          <w:sz w:val="24"/>
          <w:szCs w:val="24"/>
        </w:rPr>
        <w:t>（二）报价说明：</w:t>
      </w:r>
    </w:p>
    <w:p>
      <w:pPr>
        <w:spacing w:line="480" w:lineRule="exact"/>
        <w:ind w:firstLine="480" w:firstLineChars="200"/>
        <w:rPr>
          <w:rFonts w:ascii="宋体" w:hAnsi="宋体" w:cs="宋体"/>
          <w:sz w:val="24"/>
          <w:szCs w:val="24"/>
        </w:rPr>
      </w:pPr>
      <w:r>
        <w:rPr>
          <w:rFonts w:hint="eastAsia" w:ascii="宋体" w:hAnsi="宋体" w:cs="宋体"/>
          <w:sz w:val="24"/>
          <w:szCs w:val="24"/>
        </w:rPr>
        <w:t>（1）常规检测及15次内复检：最高限价为人民币150000元，响应人的报价不得超过对应的最高限价，否则，视为无效。</w:t>
      </w:r>
    </w:p>
    <w:p>
      <w:pPr>
        <w:spacing w:line="480" w:lineRule="exact"/>
        <w:ind w:firstLine="480" w:firstLineChars="200"/>
        <w:rPr>
          <w:rFonts w:ascii="宋体" w:hAnsi="宋体" w:cs="宋体"/>
          <w:sz w:val="24"/>
          <w:szCs w:val="24"/>
        </w:rPr>
      </w:pPr>
      <w:r>
        <w:rPr>
          <w:rFonts w:hint="eastAsia" w:ascii="宋体" w:hAnsi="宋体" w:cs="宋体"/>
          <w:sz w:val="24"/>
          <w:szCs w:val="24"/>
        </w:rPr>
        <w:t>（2）单次复检：当单次采样超过15次后的单次采样及检测费用，由响应人报单次价格，确定中标人后执行单次中标价格。</w:t>
      </w:r>
    </w:p>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cs="宋体" w:asciiTheme="minorEastAsia" w:hAnsiTheme="minorEastAsia" w:eastAsiaTheme="minorEastAsia"/>
          <w:kern w:val="0"/>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cs="宋体" w:asciiTheme="minorEastAsia" w:hAnsiTheme="minorEastAsia" w:eastAsiaTheme="minorEastAsia"/>
          <w:kern w:val="0"/>
          <w:sz w:val="24"/>
          <w:szCs w:val="24"/>
        </w:rPr>
        <w:t>只有资格审查及符合性审查合格的响应人才能继续参与评审。</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（1）资格审查</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依据比选文件要求，由评审小组对响应文件中的资格证明文件进行审查。资格审查资料表如下：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255"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检查因素</w:t>
            </w:r>
          </w:p>
        </w:tc>
        <w:tc>
          <w:tcPr>
            <w:tcW w:w="5490"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09" w:type="dxa"/>
            <w:vMerge w:val="restart"/>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响应人应符合的基本资格条件</w:t>
            </w: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（1）具有独立承担民事责任的能力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 xml:space="preserve">响应人法人营业执照（副本）或事业单位法人证书（副本）或个体工商户营业执照或有效的自然人身份证明； </w:t>
            </w:r>
          </w:p>
          <w:p>
            <w:pPr>
              <w:spacing w:line="320" w:lineRule="exact"/>
              <w:rPr>
                <w:rFonts w:asciiTheme="minorEastAsia" w:hAnsiTheme="minorEastAsia" w:eastAsiaTheme="minorEastAsia"/>
              </w:rPr>
            </w:pPr>
            <w:r>
              <w:rPr>
                <w:rFonts w:hint="eastAsia" w:asciiTheme="minorEastAsia" w:hAnsiTheme="minorEastAsia" w:eastAsiaTheme="minorEastAsia"/>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（2）具有履行合同所必需的设备和专业技术能力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（3）参加政府采购活动前三年内，在经营活动中没有重大违法记录</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1.响应人提供书面声明（见格式文件）；</w:t>
            </w:r>
          </w:p>
          <w:p>
            <w:pPr>
              <w:spacing w:line="320" w:lineRule="exact"/>
              <w:jc w:val="left"/>
              <w:rPr>
                <w:rFonts w:asciiTheme="minorEastAsia" w:hAnsiTheme="minorEastAsia" w:eastAsiaTheme="minorEastAsia"/>
                <w:b/>
              </w:rPr>
            </w:pPr>
            <w:r>
              <w:rPr>
                <w:rFonts w:hint="eastAsia" w:asciiTheme="minorEastAsia" w:hAnsiTheme="minorEastAsia" w:eastAsiaTheme="minor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（4）专业资质</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环保技术开发及技术咨询环保相关资质，通过检验检测机构资质认定，其中检验检测能力附表中必须具备本项目检测能力。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（5）法律、行政法规规定的其他条件</w:t>
            </w:r>
          </w:p>
        </w:tc>
        <w:tc>
          <w:tcPr>
            <w:tcW w:w="5490" w:type="dxa"/>
            <w:vAlign w:val="center"/>
          </w:tcPr>
          <w:p>
            <w:pPr>
              <w:spacing w:line="32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3255" w:type="dxa"/>
            <w:gridSpan w:val="2"/>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其它资格条件</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符合特定资格要求、不接受联合体参与。</w:t>
            </w:r>
          </w:p>
        </w:tc>
      </w:tr>
    </w:tbl>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（2）符合性审查</w:t>
      </w:r>
    </w:p>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评审小组应当对符合资格的响应人的响应文件进行符合性审查，以确定其是否满足比选文件的实质性要求。符合性审查资料表如下：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93"/>
        <w:gridCol w:w="1753"/>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546"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评审因素</w:t>
            </w:r>
          </w:p>
        </w:tc>
        <w:tc>
          <w:tcPr>
            <w:tcW w:w="5108"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1793" w:type="dxa"/>
            <w:vMerge w:val="restart"/>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有效性审查</w:t>
            </w:r>
          </w:p>
        </w:tc>
        <w:tc>
          <w:tcPr>
            <w:tcW w:w="1753"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响应文件签署</w:t>
            </w:r>
          </w:p>
        </w:tc>
        <w:tc>
          <w:tcPr>
            <w:tcW w:w="5108"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793" w:type="dxa"/>
            <w:vMerge w:val="continue"/>
            <w:vAlign w:val="center"/>
          </w:tcPr>
          <w:p>
            <w:pPr>
              <w:spacing w:line="320" w:lineRule="exact"/>
              <w:rPr>
                <w:rFonts w:cs="宋体" w:asciiTheme="minorEastAsia" w:hAnsiTheme="minorEastAsia" w:eastAsiaTheme="minorEastAsia"/>
                <w:kern w:val="0"/>
              </w:rPr>
            </w:pPr>
          </w:p>
        </w:tc>
        <w:tc>
          <w:tcPr>
            <w:tcW w:w="1753"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响应方案</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只能有一个方案参选。（响应第三章技术标准和要求：重钢总医院国家重点监控企业自行监测方案）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793" w:type="dxa"/>
            <w:vMerge w:val="continue"/>
            <w:vAlign w:val="center"/>
          </w:tcPr>
          <w:p>
            <w:pPr>
              <w:spacing w:line="320" w:lineRule="exact"/>
              <w:rPr>
                <w:rFonts w:cs="宋体" w:asciiTheme="minorEastAsia" w:hAnsiTheme="minorEastAsia" w:eastAsiaTheme="minorEastAsia"/>
                <w:kern w:val="0"/>
              </w:rPr>
            </w:pPr>
          </w:p>
        </w:tc>
        <w:tc>
          <w:tcPr>
            <w:tcW w:w="1753"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报价唯一</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只能在预算金额和最高限价内报价，</w:t>
            </w:r>
            <w:r>
              <w:rPr>
                <w:rFonts w:hint="eastAsia" w:asciiTheme="minorEastAsia" w:hAnsiTheme="minorEastAsia" w:eastAsiaTheme="minorEastAsia"/>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1793"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完整性审查</w:t>
            </w:r>
          </w:p>
        </w:tc>
        <w:tc>
          <w:tcPr>
            <w:tcW w:w="1753"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响应文件份数</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rPr>
              <w:t>响应</w:t>
            </w:r>
            <w:r>
              <w:rPr>
                <w:rFonts w:hint="eastAsia" w:cs="仿宋_GB2312" w:asciiTheme="minorEastAsia" w:hAnsiTheme="minorEastAsia" w:eastAsiaTheme="minorEastAsia"/>
                <w:lang w:val="zh-CN"/>
              </w:rPr>
              <w:t>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3</w:t>
            </w:r>
          </w:p>
        </w:tc>
        <w:tc>
          <w:tcPr>
            <w:tcW w:w="1793"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其它部分</w:t>
            </w:r>
          </w:p>
        </w:tc>
        <w:tc>
          <w:tcPr>
            <w:tcW w:w="1753"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响应文件内容</w:t>
            </w:r>
          </w:p>
        </w:tc>
        <w:tc>
          <w:tcPr>
            <w:tcW w:w="5108" w:type="dxa"/>
            <w:vAlign w:val="center"/>
          </w:tcPr>
          <w:p>
            <w:pPr>
              <w:spacing w:line="320" w:lineRule="exact"/>
              <w:rPr>
                <w:rFonts w:cs="仿宋_GB2312" w:asciiTheme="minorEastAsia" w:hAnsiTheme="minorEastAsia" w:eastAsiaTheme="minorEastAsia"/>
              </w:rPr>
            </w:pPr>
          </w:p>
        </w:tc>
      </w:tr>
    </w:tbl>
    <w:p>
      <w:pPr>
        <w:spacing w:line="400" w:lineRule="exact"/>
        <w:ind w:firstLine="360" w:firstLineChars="150"/>
        <w:rPr>
          <w:rFonts w:cs="宋体" w:asciiTheme="minorEastAsia" w:hAnsiTheme="minorEastAsia" w:eastAsiaTheme="minorEastAsia"/>
          <w:sz w:val="24"/>
          <w:szCs w:val="24"/>
        </w:rPr>
      </w:pPr>
      <w:r>
        <w:rPr>
          <w:rFonts w:hint="eastAsia" w:ascii="宋体" w:hAnsi="宋体" w:cs="宋体"/>
          <w:sz w:val="24"/>
          <w:szCs w:val="24"/>
        </w:rPr>
        <w:t>（3）</w:t>
      </w:r>
      <w:r>
        <w:rPr>
          <w:rFonts w:hint="eastAsia" w:cs="宋体" w:asciiTheme="minorEastAsia" w:hAnsiTheme="minorEastAsia" w:eastAsiaTheme="minorEastAsia"/>
          <w:sz w:val="24"/>
          <w:szCs w:val="24"/>
        </w:rPr>
        <w:t>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或其授权代表签字或者加盖公章。由授权代表签字的，应当附法定代表人授权书。</w:t>
      </w:r>
    </w:p>
    <w:p>
      <w:pPr>
        <w:spacing w:line="420" w:lineRule="exact"/>
        <w:ind w:firstLine="480" w:firstLineChars="200"/>
        <w:rPr>
          <w:sz w:val="24"/>
          <w:szCs w:val="24"/>
        </w:rPr>
      </w:pPr>
      <w:r>
        <w:rPr>
          <w:rFonts w:ascii="宋体" w:hAnsi="宋体" w:cs="宋体"/>
          <w:sz w:val="24"/>
          <w:szCs w:val="24"/>
        </w:rPr>
        <w:t>2</w:t>
      </w:r>
      <w:r>
        <w:rPr>
          <w:rFonts w:hint="eastAsia" w:ascii="宋体" w:hAnsi="宋体" w:cs="宋体"/>
          <w:sz w:val="24"/>
          <w:szCs w:val="24"/>
        </w:rPr>
        <w:t>．评审原则：合理低价法。满足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p>
    <w:p>
      <w:pPr>
        <w:spacing w:line="420" w:lineRule="exact"/>
        <w:ind w:firstLine="482" w:firstLineChars="200"/>
        <w:rPr>
          <w:rFonts w:ascii="宋体" w:cs="宋体"/>
          <w:bCs/>
          <w:sz w:val="24"/>
          <w:szCs w:val="24"/>
        </w:rPr>
      </w:pPr>
      <w:r>
        <w:rPr>
          <w:rFonts w:hint="eastAsia" w:ascii="宋体" w:hAnsi="宋体" w:cs="宋体"/>
          <w:b/>
          <w:bCs/>
          <w:sz w:val="24"/>
          <w:szCs w:val="24"/>
        </w:rPr>
        <w:t>三、报价及结算币种</w:t>
      </w:r>
      <w:r>
        <w:rPr>
          <w:rFonts w:hint="eastAsia" w:ascii="宋体" w:hAnsi="宋体" w:cs="宋体"/>
          <w:bCs/>
          <w:sz w:val="24"/>
          <w:szCs w:val="24"/>
        </w:rPr>
        <w:t>：人民币。</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四、响应人不足的情形</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有下列情形之一的，比选人将重新组织比选：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截止时间止，响应人少于 3 个的；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经评审小组评审后否决所有响应人的。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经评审后，如有效响应人不足三个的，且使得比选明显缺乏竞争的，评审小组可以否决全部响应人，比选人将重新组织比选。</w:t>
      </w:r>
    </w:p>
    <w:p>
      <w:pPr>
        <w:spacing w:line="420" w:lineRule="exact"/>
        <w:ind w:firstLine="480" w:firstLineChars="200"/>
        <w:rPr>
          <w:rFonts w:ascii="宋体" w:hAnsi="宋体" w:cs="宋体"/>
          <w:sz w:val="24"/>
          <w:szCs w:val="24"/>
        </w:rPr>
      </w:pPr>
      <w:r>
        <w:rPr>
          <w:rFonts w:hint="eastAsia" w:ascii="宋体" w:hAnsi="宋体" w:cs="宋体"/>
          <w:sz w:val="24"/>
          <w:szCs w:val="24"/>
        </w:rPr>
        <w:t>重新比选后响应人仍少于3个，由评审小组商议决定是否按法定程序比选和评审，确定中选人或转变采购方式。</w:t>
      </w:r>
    </w:p>
    <w:p>
      <w:pPr>
        <w:spacing w:line="420" w:lineRule="exact"/>
        <w:ind w:firstLine="482" w:firstLineChars="200"/>
        <w:rPr>
          <w:rFonts w:ascii="宋体" w:hAnsi="宋体" w:cs="宋体"/>
          <w:sz w:val="24"/>
          <w:szCs w:val="24"/>
        </w:rPr>
      </w:pPr>
      <w:r>
        <w:rPr>
          <w:rFonts w:hint="eastAsia" w:ascii="宋体" w:hAnsi="宋体" w:cs="宋体"/>
          <w:b/>
          <w:bCs/>
          <w:sz w:val="24"/>
          <w:szCs w:val="24"/>
        </w:rPr>
        <w:t>五、比选有效期</w:t>
      </w:r>
      <w:r>
        <w:rPr>
          <w:rFonts w:hint="eastAsia" w:ascii="宋体" w:hAnsi="宋体" w:cs="宋体"/>
          <w:sz w:val="24"/>
          <w:szCs w:val="24"/>
        </w:rPr>
        <w:t>：3</w:t>
      </w:r>
      <w:r>
        <w:rPr>
          <w:rFonts w:ascii="宋体" w:hAnsi="宋体" w:cs="宋体"/>
          <w:sz w:val="24"/>
          <w:szCs w:val="24"/>
        </w:rPr>
        <w:t>0</w:t>
      </w:r>
      <w:r>
        <w:rPr>
          <w:rFonts w:hint="eastAsia" w:ascii="宋体" w:hAnsi="宋体" w:cs="宋体"/>
          <w:sz w:val="24"/>
          <w:szCs w:val="24"/>
        </w:rPr>
        <w:t>日历天。（从提交响应文件截止日起计算）</w:t>
      </w:r>
    </w:p>
    <w:p>
      <w:pPr>
        <w:spacing w:line="420" w:lineRule="exact"/>
        <w:ind w:firstLine="482" w:firstLineChars="200"/>
        <w:rPr>
          <w:rFonts w:ascii="宋体" w:hAnsi="宋体" w:cs="宋体"/>
          <w:sz w:val="24"/>
          <w:szCs w:val="24"/>
        </w:rPr>
      </w:pPr>
      <w:r>
        <w:rPr>
          <w:rFonts w:hint="eastAsia" w:ascii="宋体" w:hAnsi="宋体" w:cs="宋体"/>
          <w:b/>
          <w:bCs/>
          <w:sz w:val="24"/>
          <w:szCs w:val="24"/>
        </w:rPr>
        <w:t>六、付款方式：</w:t>
      </w:r>
      <w:r>
        <w:rPr>
          <w:rFonts w:hint="eastAsia" w:ascii="宋体" w:hAnsi="宋体" w:cs="宋体"/>
          <w:sz w:val="24"/>
          <w:szCs w:val="24"/>
        </w:rPr>
        <w:t>本项目合同签订后支付合同金额的20%，服务一年后支付合同金额的30%，服务二年后支付合同金额的30%，合同期满并完成所有检测和报告后支付合同金额的20%及超过15次复检后的所有单次费用。</w:t>
      </w:r>
    </w:p>
    <w:p>
      <w:pPr>
        <w:spacing w:line="420" w:lineRule="exact"/>
        <w:ind w:firstLine="482" w:firstLineChars="200"/>
        <w:rPr>
          <w:rFonts w:ascii="宋体" w:cs="宋体"/>
          <w:sz w:val="24"/>
          <w:szCs w:val="24"/>
        </w:rPr>
      </w:pPr>
      <w:r>
        <w:rPr>
          <w:rFonts w:hint="eastAsia" w:ascii="宋体" w:hAnsi="宋体" w:cs="宋体"/>
          <w:b/>
          <w:bCs/>
          <w:sz w:val="24"/>
          <w:szCs w:val="24"/>
        </w:rPr>
        <w:t>七、响应文件的组成</w:t>
      </w:r>
      <w:r>
        <w:rPr>
          <w:rFonts w:hint="eastAsia" w:ascii="宋体" w:hAnsi="宋体" w:cs="宋体"/>
          <w:sz w:val="24"/>
          <w:szCs w:val="24"/>
        </w:rPr>
        <w:t>：</w:t>
      </w:r>
    </w:p>
    <w:p>
      <w:pPr>
        <w:spacing w:line="440" w:lineRule="exact"/>
        <w:ind w:firstLine="480" w:firstLineChars="200"/>
        <w:rPr>
          <w:rFonts w:ascii="宋体" w:hAnsi="宋体"/>
          <w:sz w:val="24"/>
          <w:szCs w:val="24"/>
        </w:rPr>
      </w:pPr>
      <w:bookmarkStart w:id="0" w:name="_Toc256249129"/>
      <w:bookmarkStart w:id="1" w:name="_Toc12789069"/>
      <w:r>
        <w:rPr>
          <w:rFonts w:hint="eastAsia" w:ascii="宋体" w:hAnsi="宋体"/>
          <w:sz w:val="24"/>
          <w:szCs w:val="24"/>
        </w:rPr>
        <w:t>比选报价函；</w:t>
      </w:r>
    </w:p>
    <w:p>
      <w:pPr>
        <w:spacing w:line="440" w:lineRule="exact"/>
        <w:ind w:firstLine="480" w:firstLineChars="200"/>
        <w:rPr>
          <w:rFonts w:ascii="宋体" w:hAnsi="宋体"/>
          <w:sz w:val="24"/>
          <w:szCs w:val="24"/>
        </w:rPr>
      </w:pPr>
      <w:r>
        <w:rPr>
          <w:rFonts w:hint="eastAsia" w:ascii="宋体" w:hAnsi="宋体"/>
          <w:sz w:val="24"/>
          <w:szCs w:val="24"/>
        </w:rPr>
        <w:t>法定代表人身份证明及授权委托书；</w:t>
      </w:r>
    </w:p>
    <w:p>
      <w:pPr>
        <w:spacing w:line="440" w:lineRule="exact"/>
        <w:ind w:firstLine="480" w:firstLineChars="200"/>
        <w:rPr>
          <w:rFonts w:ascii="宋体" w:hAnsi="宋体"/>
          <w:sz w:val="24"/>
          <w:szCs w:val="24"/>
        </w:rPr>
      </w:pPr>
      <w:r>
        <w:rPr>
          <w:rFonts w:hint="eastAsia" w:ascii="宋体" w:hAnsi="宋体"/>
          <w:sz w:val="24"/>
          <w:szCs w:val="24"/>
        </w:rPr>
        <w:t>营业执照副本；</w:t>
      </w:r>
    </w:p>
    <w:p>
      <w:pPr>
        <w:spacing w:line="440" w:lineRule="exact"/>
        <w:ind w:firstLine="480" w:firstLineChars="200"/>
        <w:rPr>
          <w:rFonts w:ascii="宋体" w:hAnsi="宋体"/>
          <w:sz w:val="24"/>
          <w:szCs w:val="24"/>
        </w:rPr>
      </w:pPr>
      <w:r>
        <w:rPr>
          <w:rFonts w:hint="eastAsia" w:ascii="宋体" w:hAnsi="宋体"/>
          <w:sz w:val="24"/>
          <w:szCs w:val="24"/>
        </w:rPr>
        <w:t>响应方案（</w:t>
      </w:r>
      <w:r>
        <w:rPr>
          <w:rFonts w:hint="eastAsia" w:ascii="宋体" w:hAnsi="宋体" w:cs="宋体"/>
          <w:sz w:val="24"/>
          <w:szCs w:val="24"/>
        </w:rPr>
        <w:t>技术材料</w:t>
      </w:r>
      <w:r>
        <w:rPr>
          <w:rFonts w:hint="eastAsia" w:ascii="宋体" w:hAnsi="宋体"/>
          <w:sz w:val="24"/>
          <w:szCs w:val="24"/>
        </w:rPr>
        <w:t>）；</w:t>
      </w:r>
    </w:p>
    <w:p>
      <w:pPr>
        <w:spacing w:line="440" w:lineRule="exact"/>
        <w:ind w:firstLine="480" w:firstLineChars="200"/>
        <w:rPr>
          <w:rFonts w:ascii="宋体" w:hAnsi="宋体"/>
          <w:sz w:val="24"/>
          <w:szCs w:val="24"/>
        </w:rPr>
      </w:pPr>
      <w:r>
        <w:rPr>
          <w:rFonts w:hint="eastAsia" w:ascii="宋体" w:hAnsi="宋体"/>
          <w:sz w:val="24"/>
          <w:szCs w:val="24"/>
        </w:rPr>
        <w:t>其它须说明材料。</w:t>
      </w:r>
    </w:p>
    <w:p>
      <w:pPr>
        <w:spacing w:line="420" w:lineRule="exact"/>
        <w:ind w:firstLine="480" w:firstLineChars="200"/>
        <w:rPr>
          <w:rFonts w:ascii="宋体" w:hAnsi="宋体"/>
          <w:sz w:val="24"/>
          <w:szCs w:val="24"/>
        </w:rPr>
      </w:pPr>
      <w:r>
        <w:rPr>
          <w:rFonts w:hint="eastAsia" w:ascii="宋体" w:hAnsi="宋体"/>
          <w:sz w:val="24"/>
          <w:szCs w:val="24"/>
        </w:rPr>
        <w:t>注意：以上资料应提供复印件并加盖鲜章，响应文件应提交正本一份，副本一份并进行密封，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color w:val="000000"/>
          <w:sz w:val="24"/>
          <w:szCs w:val="24"/>
        </w:rPr>
      </w:pPr>
      <w:r>
        <w:rPr>
          <w:rFonts w:hint="eastAsia" w:ascii="宋体" w:hAnsi="宋体" w:cs="宋体"/>
          <w:b/>
          <w:bCs/>
          <w:color w:val="000000"/>
          <w:sz w:val="24"/>
          <w:szCs w:val="24"/>
        </w:rPr>
        <w:t>八、合同的签订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 w:val="24"/>
          <w:szCs w:val="24"/>
        </w:rPr>
      </w:pPr>
      <w:r>
        <w:rPr>
          <w:rFonts w:hint="eastAsia" w:ascii="宋体" w:hAnsi="宋体" w:cs="宋体"/>
          <w:b/>
          <w:bCs/>
          <w:sz w:val="24"/>
          <w:szCs w:val="24"/>
        </w:rPr>
        <w:t>九、费用</w:t>
      </w:r>
      <w:r>
        <w:rPr>
          <w:rFonts w:hint="eastAsia" w:ascii="宋体" w:hAnsi="宋体" w:cs="宋体"/>
          <w:sz w:val="24"/>
          <w:szCs w:val="24"/>
        </w:rPr>
        <w:t>：不论比选结果如何，响应人自行承担与本次比选有关的所有费用。</w:t>
      </w:r>
    </w:p>
    <w:p>
      <w:pPr>
        <w:spacing w:line="420" w:lineRule="exact"/>
        <w:ind w:firstLine="482" w:firstLineChars="200"/>
        <w:rPr>
          <w:rFonts w:ascii="宋体" w:cs="宋体"/>
          <w:b/>
          <w:bCs/>
          <w:sz w:val="24"/>
          <w:szCs w:val="24"/>
        </w:rPr>
      </w:pPr>
      <w:r>
        <w:rPr>
          <w:rFonts w:hint="eastAsia" w:ascii="宋体" w:hAnsi="宋体" w:cs="宋体"/>
          <w:b/>
          <w:bCs/>
          <w:sz w:val="24"/>
          <w:szCs w:val="24"/>
        </w:rPr>
        <w:t>十、如有未尽事宜，最终解释权在比选方。</w:t>
      </w:r>
    </w:p>
    <w:p>
      <w:pPr>
        <w:spacing w:line="420" w:lineRule="exact"/>
        <w:rPr>
          <w:rFonts w:ascii="宋体" w:hAnsi="宋体" w:cs="宋体"/>
          <w:b/>
          <w:bCs/>
          <w:color w:val="000000"/>
          <w:sz w:val="24"/>
          <w:szCs w:val="24"/>
        </w:rPr>
      </w:pPr>
      <w:r>
        <w:rPr>
          <w:rFonts w:hint="eastAsia" w:ascii="宋体" w:hAnsi="宋体" w:cs="宋体"/>
          <w:b/>
          <w:bCs/>
          <w:color w:val="000000"/>
          <w:sz w:val="24"/>
          <w:szCs w:val="24"/>
        </w:rPr>
        <w:br w:type="page"/>
      </w:r>
    </w:p>
    <w:p>
      <w:pPr>
        <w:spacing w:line="420" w:lineRule="exact"/>
        <w:jc w:val="center"/>
        <w:rPr>
          <w:rFonts w:asciiTheme="minorEastAsia" w:hAnsiTheme="minorEastAsia" w:eastAsiaTheme="minorEastAsia"/>
          <w:sz w:val="24"/>
          <w:szCs w:val="24"/>
        </w:rPr>
      </w:pPr>
      <w:r>
        <w:rPr>
          <w:rFonts w:hint="eastAsia" w:ascii="宋体" w:hAnsi="宋体" w:cs="宋体"/>
          <w:b/>
          <w:bCs/>
          <w:color w:val="000000"/>
          <w:sz w:val="24"/>
          <w:szCs w:val="24"/>
        </w:rPr>
        <w:t>第三章  技术标准和要求</w:t>
      </w:r>
      <w:bookmarkStart w:id="2" w:name="_Toc31359"/>
    </w:p>
    <w:bookmarkEnd w:id="2"/>
    <w:p>
      <w:pPr>
        <w:spacing w:line="440" w:lineRule="exact"/>
        <w:rPr>
          <w:rFonts w:asciiTheme="minorEastAsia" w:hAnsiTheme="minorEastAsia"/>
          <w:sz w:val="24"/>
          <w:szCs w:val="24"/>
        </w:rPr>
      </w:pPr>
    </w:p>
    <w:p>
      <w:pPr>
        <w:spacing w:line="440" w:lineRule="exact"/>
        <w:jc w:val="center"/>
        <w:rPr>
          <w:sz w:val="24"/>
          <w:szCs w:val="24"/>
        </w:rPr>
      </w:pPr>
      <w:r>
        <w:rPr>
          <w:rFonts w:hint="eastAsia"/>
          <w:sz w:val="24"/>
          <w:szCs w:val="24"/>
        </w:rPr>
        <w:t>重钢总医院国家重点监控企业自行监测方案</w:t>
      </w:r>
    </w:p>
    <w:p>
      <w:pPr>
        <w:spacing w:line="440" w:lineRule="exact"/>
        <w:ind w:firstLine="480" w:firstLineChars="200"/>
        <w:rPr>
          <w:rFonts w:ascii="宋体"/>
          <w:sz w:val="24"/>
          <w:szCs w:val="24"/>
        </w:rPr>
      </w:pPr>
    </w:p>
    <w:p>
      <w:pPr>
        <w:spacing w:line="440" w:lineRule="exact"/>
        <w:ind w:firstLine="480" w:firstLineChars="200"/>
        <w:rPr>
          <w:rFonts w:ascii="宋体"/>
          <w:sz w:val="24"/>
          <w:szCs w:val="24"/>
        </w:rPr>
      </w:pPr>
      <w:r>
        <w:rPr>
          <w:rFonts w:hint="eastAsia" w:ascii="宋体" w:hAnsi="宋体"/>
          <w:sz w:val="24"/>
          <w:szCs w:val="24"/>
        </w:rPr>
        <w:t>根据《国家重点监控企业自行监测及信息公开办法（试行）》（以下简称</w:t>
      </w:r>
      <w:r>
        <w:rPr>
          <w:rFonts w:hint="eastAsia" w:ascii="宋体"/>
          <w:sz w:val="24"/>
          <w:szCs w:val="24"/>
        </w:rPr>
        <w:t>“</w:t>
      </w:r>
      <w:r>
        <w:rPr>
          <w:rFonts w:hint="eastAsia" w:ascii="宋体" w:hAnsi="宋体"/>
          <w:sz w:val="24"/>
          <w:szCs w:val="24"/>
        </w:rPr>
        <w:t>自行监测办法</w:t>
      </w:r>
      <w:r>
        <w:rPr>
          <w:rFonts w:hint="eastAsia" w:ascii="宋体"/>
          <w:sz w:val="24"/>
          <w:szCs w:val="24"/>
        </w:rPr>
        <w:t>”</w:t>
      </w:r>
      <w:r>
        <w:rPr>
          <w:rFonts w:hint="eastAsia" w:ascii="宋体" w:hAnsi="宋体"/>
          <w:sz w:val="24"/>
          <w:szCs w:val="24"/>
        </w:rPr>
        <w:t>）和《</w:t>
      </w:r>
      <w:r>
        <w:rPr>
          <w:rFonts w:hint="eastAsia" w:ascii="宋体"/>
          <w:sz w:val="24"/>
          <w:szCs w:val="24"/>
        </w:rPr>
        <w:t>“</w:t>
      </w:r>
      <w:r>
        <w:rPr>
          <w:rFonts w:hint="eastAsia" w:ascii="宋体" w:hAnsi="宋体"/>
          <w:sz w:val="24"/>
          <w:szCs w:val="24"/>
        </w:rPr>
        <w:t>十二五</w:t>
      </w:r>
      <w:r>
        <w:rPr>
          <w:rFonts w:hint="eastAsia" w:ascii="宋体"/>
          <w:sz w:val="24"/>
          <w:szCs w:val="24"/>
        </w:rPr>
        <w:t>”</w:t>
      </w:r>
      <w:r>
        <w:rPr>
          <w:rFonts w:hint="eastAsia" w:ascii="宋体" w:hAnsi="宋体"/>
          <w:sz w:val="24"/>
          <w:szCs w:val="24"/>
        </w:rPr>
        <w:t>主要污染物总量减排监测办法》要求，</w:t>
      </w:r>
      <w:r>
        <w:rPr>
          <w:rFonts w:hint="eastAsia" w:ascii="宋体" w:hAnsi="宋体"/>
          <w:b/>
          <w:bCs/>
          <w:sz w:val="24"/>
          <w:szCs w:val="24"/>
          <w:u w:val="single"/>
        </w:rPr>
        <w:t>重钢总医院</w:t>
      </w:r>
      <w:r>
        <w:rPr>
          <w:rFonts w:hint="eastAsia" w:ascii="宋体" w:hAnsi="宋体"/>
          <w:sz w:val="24"/>
          <w:szCs w:val="24"/>
        </w:rPr>
        <w:t>为规范自行监测及信息公开行为，自觉履行法定义务和社会责任，特制定本监测方案。</w:t>
      </w:r>
    </w:p>
    <w:p>
      <w:pPr>
        <w:spacing w:line="440" w:lineRule="exact"/>
        <w:ind w:firstLine="480" w:firstLineChars="200"/>
        <w:rPr>
          <w:rFonts w:ascii="宋体"/>
          <w:sz w:val="24"/>
          <w:szCs w:val="24"/>
        </w:rPr>
      </w:pPr>
      <w:r>
        <w:rPr>
          <w:rFonts w:hint="eastAsia" w:ascii="宋体" w:hAnsi="宋体"/>
          <w:sz w:val="24"/>
          <w:szCs w:val="24"/>
        </w:rPr>
        <w:t>一、基本情况</w:t>
      </w:r>
    </w:p>
    <w:p>
      <w:pPr>
        <w:spacing w:line="440" w:lineRule="exact"/>
        <w:ind w:firstLine="480" w:firstLineChars="200"/>
        <w:rPr>
          <w:rFonts w:ascii="宋体"/>
          <w:sz w:val="24"/>
          <w:szCs w:val="24"/>
        </w:rPr>
      </w:pPr>
      <w:r>
        <w:rPr>
          <w:rFonts w:hint="eastAsia" w:ascii="宋体" w:hAnsi="宋体"/>
          <w:sz w:val="24"/>
          <w:szCs w:val="24"/>
        </w:rPr>
        <w:t>企业名称、法人代表、所属行业、地理位置（企业厂区中心经纬度）、多年主导风向、产品、原辅材料、生产周期、联系人及方式。企业基础信息见表</w:t>
      </w:r>
      <w:r>
        <w:rPr>
          <w:rFonts w:ascii="宋体" w:hAnsi="宋体"/>
          <w:sz w:val="24"/>
          <w:szCs w:val="24"/>
        </w:rPr>
        <w:t>1-1-1</w:t>
      </w:r>
      <w:r>
        <w:rPr>
          <w:rFonts w:hint="eastAsia" w:ascii="宋体" w:hAnsi="宋体"/>
          <w:sz w:val="24"/>
          <w:szCs w:val="24"/>
        </w:rPr>
        <w:t>。</w:t>
      </w:r>
    </w:p>
    <w:p>
      <w:pPr>
        <w:spacing w:line="440" w:lineRule="exact"/>
        <w:jc w:val="center"/>
        <w:rPr>
          <w:rFonts w:ascii="宋体" w:cs="宋体"/>
          <w:b/>
          <w:bCs/>
          <w:sz w:val="24"/>
          <w:szCs w:val="24"/>
        </w:rPr>
      </w:pPr>
      <w:r>
        <w:rPr>
          <w:rFonts w:hint="eastAsia" w:ascii="宋体" w:hAnsi="宋体" w:cs="宋体"/>
          <w:b/>
          <w:bCs/>
          <w:sz w:val="24"/>
          <w:szCs w:val="24"/>
        </w:rPr>
        <w:t>表</w:t>
      </w:r>
      <w:r>
        <w:rPr>
          <w:rFonts w:ascii="宋体" w:hAnsi="宋体" w:cs="宋体"/>
          <w:b/>
          <w:bCs/>
          <w:sz w:val="24"/>
          <w:szCs w:val="24"/>
        </w:rPr>
        <w:t xml:space="preserve">1-1-1 </w:t>
      </w:r>
      <w:r>
        <w:rPr>
          <w:rFonts w:hint="eastAsia" w:ascii="宋体" w:hAnsi="宋体" w:cs="宋体"/>
          <w:b/>
          <w:bCs/>
          <w:sz w:val="24"/>
          <w:szCs w:val="24"/>
        </w:rPr>
        <w:t>企业基础信息表</w:t>
      </w:r>
    </w:p>
    <w:tbl>
      <w:tblPr>
        <w:tblStyle w:val="13"/>
        <w:tblpPr w:leftFromText="11" w:rightFromText="11" w:topFromText="6" w:bottomFromText="6" w:vertAnchor="text" w:horzAnchor="page" w:tblpX="1435" w:tblpY="29"/>
        <w:tblOverlap w:val="never"/>
        <w:tblW w:w="9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321"/>
        <w:gridCol w:w="833"/>
        <w:gridCol w:w="1393"/>
        <w:gridCol w:w="1170"/>
        <w:gridCol w:w="899"/>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rFonts w:ascii="宋体"/>
              </w:rPr>
            </w:pPr>
            <w:r>
              <w:rPr>
                <w:rFonts w:hint="eastAsia" w:ascii="宋体" w:hAnsi="宋体"/>
              </w:rPr>
              <w:t>企业名称（所属集团）</w:t>
            </w:r>
          </w:p>
        </w:tc>
        <w:tc>
          <w:tcPr>
            <w:tcW w:w="7169" w:type="dxa"/>
            <w:gridSpan w:val="6"/>
            <w:vAlign w:val="center"/>
          </w:tcPr>
          <w:p>
            <w:pPr>
              <w:rPr>
                <w:rFonts w:ascii="宋体"/>
              </w:rPr>
            </w:pPr>
            <w:r>
              <w:rPr>
                <w:rFonts w:hint="eastAsia" w:ascii="宋体" w:hAnsi="宋体"/>
              </w:rPr>
              <w:t>重钢总医院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rFonts w:ascii="宋体"/>
              </w:rPr>
            </w:pPr>
            <w:r>
              <w:rPr>
                <w:rFonts w:hint="eastAsia" w:ascii="宋体" w:hAnsi="宋体"/>
              </w:rPr>
              <w:t>法人代表</w:t>
            </w:r>
          </w:p>
        </w:tc>
        <w:tc>
          <w:tcPr>
            <w:tcW w:w="7169" w:type="dxa"/>
            <w:gridSpan w:val="6"/>
            <w:vAlign w:val="center"/>
          </w:tcPr>
          <w:p>
            <w:pPr>
              <w:jc w:val="left"/>
              <w:rPr>
                <w:rFonts w:ascii="宋体"/>
              </w:rPr>
            </w:pPr>
            <w:r>
              <w:rPr>
                <w:rFonts w:hint="eastAsia" w:ascii="宋体" w:hAnsi="宋体"/>
              </w:rPr>
              <w:t>覃家华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rFonts w:ascii="宋体"/>
              </w:rPr>
            </w:pPr>
            <w:r>
              <w:rPr>
                <w:rFonts w:hint="eastAsia" w:ascii="宋体" w:hAnsi="宋体"/>
              </w:rPr>
              <w:t>建设地点</w:t>
            </w:r>
          </w:p>
        </w:tc>
        <w:tc>
          <w:tcPr>
            <w:tcW w:w="4717" w:type="dxa"/>
            <w:gridSpan w:val="4"/>
            <w:vAlign w:val="center"/>
          </w:tcPr>
          <w:p>
            <w:pPr>
              <w:jc w:val="left"/>
              <w:rPr>
                <w:rFonts w:ascii="宋体"/>
              </w:rPr>
            </w:pPr>
            <w:r>
              <w:rPr>
                <w:rFonts w:hint="eastAsia" w:ascii="宋体" w:hAnsi="宋体"/>
              </w:rPr>
              <w:t>大渡口区大堰三村特一号</w:t>
            </w:r>
          </w:p>
        </w:tc>
        <w:tc>
          <w:tcPr>
            <w:tcW w:w="899" w:type="dxa"/>
            <w:vAlign w:val="center"/>
          </w:tcPr>
          <w:p>
            <w:pPr>
              <w:jc w:val="center"/>
              <w:rPr>
                <w:rFonts w:ascii="宋体"/>
              </w:rPr>
            </w:pPr>
            <w:r>
              <w:rPr>
                <w:rFonts w:hint="eastAsia" w:ascii="宋体" w:hAnsi="宋体"/>
              </w:rPr>
              <w:t>邮编</w:t>
            </w:r>
          </w:p>
        </w:tc>
        <w:tc>
          <w:tcPr>
            <w:tcW w:w="1553" w:type="dxa"/>
            <w:vAlign w:val="center"/>
          </w:tcPr>
          <w:p>
            <w:pPr>
              <w:jc w:val="center"/>
              <w:rPr>
                <w:color w:val="000000"/>
              </w:rPr>
            </w:pPr>
            <w:r>
              <w:rPr>
                <w:color w:val="000000"/>
              </w:rPr>
              <w:t>400080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中心经纬度</w:t>
            </w:r>
          </w:p>
        </w:tc>
        <w:tc>
          <w:tcPr>
            <w:tcW w:w="7169" w:type="dxa"/>
            <w:gridSpan w:val="6"/>
            <w:vAlign w:val="center"/>
          </w:tcPr>
          <w:p>
            <w:pPr>
              <w:jc w:val="left"/>
              <w:rPr>
                <w:color w:val="00B0F0"/>
              </w:rPr>
            </w:pPr>
            <w:r>
              <w:rPr>
                <w:rFonts w:hint="eastAsia"/>
              </w:rPr>
              <w:t>中心经度</w:t>
            </w:r>
            <w:r>
              <w:rPr>
                <w:u w:val="single"/>
              </w:rPr>
              <w:t>106</w:t>
            </w:r>
            <w:r>
              <w:t>°</w:t>
            </w:r>
            <w:r>
              <w:rPr>
                <w:u w:val="single"/>
              </w:rPr>
              <w:t>29</w:t>
            </w:r>
            <w:r>
              <w:rPr>
                <w:rFonts w:hint="eastAsia" w:ascii="宋体" w:hAnsi="宋体" w:cs="宋体"/>
              </w:rPr>
              <w:t>′</w:t>
            </w:r>
            <w:r>
              <w:rPr>
                <w:u w:val="single"/>
              </w:rPr>
              <w:t>14.42</w:t>
            </w:r>
            <w:r>
              <w:rPr>
                <w:rFonts w:hint="eastAsia" w:ascii="宋体" w:hAnsi="宋体" w:cs="宋体"/>
              </w:rPr>
              <w:t>″</w:t>
            </w:r>
            <w:r>
              <w:rPr>
                <w:rFonts w:hint="eastAsia"/>
              </w:rPr>
              <w:t>中心纬度</w:t>
            </w:r>
            <w:r>
              <w:rPr>
                <w:u w:val="single"/>
              </w:rPr>
              <w:t>29</w:t>
            </w:r>
            <w:r>
              <w:t>°</w:t>
            </w:r>
            <w:r>
              <w:rPr>
                <w:u w:val="single"/>
              </w:rPr>
              <w:t>29</w:t>
            </w:r>
            <w:r>
              <w:rPr>
                <w:rFonts w:hint="eastAsia" w:ascii="宋体" w:hAnsi="宋体" w:cs="宋体"/>
              </w:rPr>
              <w:t>′</w:t>
            </w:r>
            <w:r>
              <w:rPr>
                <w:u w:val="single"/>
              </w:rPr>
              <w:t>22.60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trPr>
        <w:tc>
          <w:tcPr>
            <w:tcW w:w="2376" w:type="dxa"/>
            <w:vAlign w:val="center"/>
          </w:tcPr>
          <w:p>
            <w:pPr>
              <w:jc w:val="center"/>
              <w:rPr>
                <w:rFonts w:ascii="宋体"/>
              </w:rPr>
            </w:pPr>
            <w:r>
              <w:rPr>
                <w:rFonts w:hint="eastAsia" w:ascii="宋体" w:hAnsi="宋体"/>
              </w:rPr>
              <w:t>联系人</w:t>
            </w:r>
          </w:p>
        </w:tc>
        <w:tc>
          <w:tcPr>
            <w:tcW w:w="2154" w:type="dxa"/>
            <w:gridSpan w:val="2"/>
            <w:vAlign w:val="center"/>
          </w:tcPr>
          <w:p>
            <w:pPr>
              <w:jc w:val="center"/>
              <w:rPr>
                <w:rFonts w:ascii="宋体" w:hAnsi="宋体"/>
              </w:rPr>
            </w:pPr>
            <w:r>
              <w:rPr>
                <w:rFonts w:hint="eastAsia" w:ascii="宋体" w:hAnsi="宋体"/>
              </w:rPr>
              <w:t>后勤安全保障部：</w:t>
            </w:r>
          </w:p>
          <w:p>
            <w:pPr>
              <w:jc w:val="center"/>
              <w:rPr>
                <w:rFonts w:ascii="宋体"/>
              </w:rPr>
            </w:pPr>
            <w:r>
              <w:rPr>
                <w:rFonts w:hint="eastAsia" w:ascii="宋体" w:hAnsi="宋体"/>
              </w:rPr>
              <w:t>潘辉</w:t>
            </w:r>
          </w:p>
        </w:tc>
        <w:tc>
          <w:tcPr>
            <w:tcW w:w="2563" w:type="dxa"/>
            <w:gridSpan w:val="2"/>
            <w:vAlign w:val="center"/>
          </w:tcPr>
          <w:p>
            <w:pPr>
              <w:jc w:val="center"/>
              <w:rPr>
                <w:rFonts w:ascii="宋体"/>
              </w:rPr>
            </w:pPr>
            <w:r>
              <w:rPr>
                <w:rFonts w:hint="eastAsia" w:ascii="宋体" w:hAnsi="宋体"/>
              </w:rPr>
              <w:t>联系电话</w:t>
            </w:r>
          </w:p>
        </w:tc>
        <w:tc>
          <w:tcPr>
            <w:tcW w:w="2452" w:type="dxa"/>
            <w:gridSpan w:val="2"/>
            <w:vAlign w:val="center"/>
          </w:tcPr>
          <w:p>
            <w:pPr>
              <w:rPr>
                <w:color w:val="000000"/>
              </w:rPr>
            </w:pPr>
            <w:r>
              <w:rPr>
                <w:rFonts w:hint="eastAsia"/>
                <w:color w:val="000000"/>
              </w:rPr>
              <w:t>13206073721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所属行业</w:t>
            </w:r>
          </w:p>
        </w:tc>
        <w:tc>
          <w:tcPr>
            <w:tcW w:w="7169" w:type="dxa"/>
            <w:gridSpan w:val="6"/>
            <w:vAlign w:val="center"/>
          </w:tcPr>
          <w:p>
            <w:pPr>
              <w:jc w:val="left"/>
              <w:rPr>
                <w:color w:val="000000"/>
              </w:rPr>
            </w:pPr>
            <w:r>
              <w:rPr>
                <w:rFonts w:hint="eastAsia"/>
                <w:color w:val="000000"/>
              </w:rPr>
              <w:t>医疗卫生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国控类型</w:t>
            </w:r>
          </w:p>
        </w:tc>
        <w:tc>
          <w:tcPr>
            <w:tcW w:w="7169" w:type="dxa"/>
            <w:gridSpan w:val="6"/>
            <w:vAlign w:val="center"/>
          </w:tcPr>
          <w:p>
            <w:pPr>
              <w:rPr>
                <w:color w:val="000000"/>
              </w:rPr>
            </w:pPr>
            <w:r>
              <w:rPr>
                <w:rFonts w:hint="eastAsia"/>
              </w:rPr>
              <w:t>■废水■废气□重金属□污水处理厂□其它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主要产品</w:t>
            </w:r>
          </w:p>
        </w:tc>
        <w:tc>
          <w:tcPr>
            <w:tcW w:w="7169" w:type="dxa"/>
            <w:gridSpan w:val="6"/>
            <w:vAlign w:val="center"/>
          </w:tcPr>
          <w:p>
            <w:pPr>
              <w:jc w:val="center"/>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设计（实际）生产能力</w:t>
            </w:r>
          </w:p>
        </w:tc>
        <w:tc>
          <w:tcPr>
            <w:tcW w:w="7169" w:type="dxa"/>
            <w:gridSpan w:val="6"/>
            <w:vAlign w:val="center"/>
          </w:tcPr>
          <w:p>
            <w:pPr>
              <w:jc w:val="center"/>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企业职工数</w:t>
            </w:r>
          </w:p>
        </w:tc>
        <w:tc>
          <w:tcPr>
            <w:tcW w:w="7169" w:type="dxa"/>
            <w:gridSpan w:val="6"/>
            <w:vAlign w:val="center"/>
          </w:tcPr>
          <w:p>
            <w:pPr>
              <w:jc w:val="center"/>
              <w:rPr>
                <w:color w:val="000000"/>
              </w:rPr>
            </w:pPr>
            <w:r>
              <w:rPr>
                <w:color w:val="000000"/>
              </w:rPr>
              <w:t>800</w:t>
            </w:r>
            <w:r>
              <w:rPr>
                <w:rFonts w:hint="eastAsia"/>
                <w:color w:val="00000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生产周期</w:t>
            </w:r>
          </w:p>
        </w:tc>
        <w:tc>
          <w:tcPr>
            <w:tcW w:w="7169" w:type="dxa"/>
            <w:gridSpan w:val="6"/>
            <w:vAlign w:val="center"/>
          </w:tcPr>
          <w:p>
            <w:pPr>
              <w:jc w:val="center"/>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企业年产值</w:t>
            </w:r>
          </w:p>
        </w:tc>
        <w:tc>
          <w:tcPr>
            <w:tcW w:w="7169" w:type="dxa"/>
            <w:gridSpan w:val="6"/>
            <w:vAlign w:val="center"/>
          </w:tcPr>
          <w:p>
            <w:pPr>
              <w:jc w:val="center"/>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建厂时间</w:t>
            </w:r>
          </w:p>
        </w:tc>
        <w:tc>
          <w:tcPr>
            <w:tcW w:w="7169" w:type="dxa"/>
            <w:gridSpan w:val="6"/>
            <w:vAlign w:val="center"/>
          </w:tcPr>
          <w:p>
            <w:pPr>
              <w:ind w:firstLine="480"/>
              <w:jc w:val="center"/>
              <w:rPr>
                <w:rFonts w:ascii="宋体" w:cs="宋体"/>
                <w:highlight w:val="yellow"/>
              </w:rPr>
            </w:pPr>
            <w:r>
              <w:rPr>
                <w:rFonts w:ascii="宋体" w:hAnsi="宋体" w:cs="宋体"/>
              </w:rPr>
              <w:t>1938</w:t>
            </w:r>
            <w:r>
              <w:rPr>
                <w:rFonts w:hint="eastAsia" w:ascii="宋体" w:hAnsi="宋体" w:cs="宋体"/>
              </w:rPr>
              <w:t>年</w:t>
            </w:r>
            <w:r>
              <w:rPr>
                <w:rFonts w:ascii="宋体" w:hAnsi="宋体" w:cs="宋体"/>
              </w:rPr>
              <w:t xml:space="preserve">12 </w:t>
            </w:r>
            <w:r>
              <w:rPr>
                <w:rFonts w:hint="eastAsia" w:ascii="宋体" w:hAnsi="宋体" w:cs="宋体"/>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环评时间</w:t>
            </w:r>
          </w:p>
        </w:tc>
        <w:tc>
          <w:tcPr>
            <w:tcW w:w="7169" w:type="dxa"/>
            <w:gridSpan w:val="6"/>
            <w:vAlign w:val="center"/>
          </w:tcPr>
          <w:p>
            <w:pPr>
              <w:ind w:firstLine="480"/>
              <w:jc w:val="center"/>
              <w:rPr>
                <w:rFonts w:ascii="宋体" w:cs="宋体"/>
                <w:highlight w:val="yellow"/>
              </w:rPr>
            </w:pPr>
            <w:r>
              <w:rPr>
                <w:rFonts w:ascii="宋体" w:hAnsi="宋体" w:cs="宋体"/>
              </w:rPr>
              <w:t>2010</w:t>
            </w:r>
            <w:r>
              <w:rPr>
                <w:rFonts w:hint="eastAsia" w:ascii="宋体" w:hAnsi="宋体" w:cs="宋体"/>
              </w:rPr>
              <w:t>年</w:t>
            </w:r>
            <w:r>
              <w:rPr>
                <w:rFonts w:ascii="宋体" w:hAnsi="宋体" w:cs="宋体"/>
              </w:rPr>
              <w:t xml:space="preserve">12 </w:t>
            </w:r>
            <w:r>
              <w:rPr>
                <w:rFonts w:hint="eastAsia" w:ascii="宋体" w:hAnsi="宋体" w:cs="宋体"/>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验收时间</w:t>
            </w:r>
          </w:p>
        </w:tc>
        <w:tc>
          <w:tcPr>
            <w:tcW w:w="7169" w:type="dxa"/>
            <w:gridSpan w:val="6"/>
            <w:vAlign w:val="center"/>
          </w:tcPr>
          <w:p>
            <w:pPr>
              <w:ind w:firstLine="480"/>
              <w:jc w:val="center"/>
              <w:rPr>
                <w:rFonts w:ascii="宋体" w:cs="宋体"/>
                <w:highlight w:val="yellow"/>
              </w:rPr>
            </w:pPr>
            <w:r>
              <w:rPr>
                <w:rFonts w:ascii="宋体" w:hAnsi="宋体" w:cs="宋体"/>
              </w:rPr>
              <w:t>2014</w:t>
            </w:r>
            <w:r>
              <w:rPr>
                <w:rFonts w:hint="eastAsia" w:ascii="宋体" w:hAnsi="宋体" w:cs="宋体"/>
              </w:rPr>
              <w:t>年</w:t>
            </w:r>
            <w:r>
              <w:rPr>
                <w:rFonts w:ascii="宋体" w:hAnsi="宋体" w:cs="宋体"/>
              </w:rPr>
              <w:t xml:space="preserve">12 </w:t>
            </w:r>
            <w:r>
              <w:rPr>
                <w:rFonts w:hint="eastAsia" w:ascii="宋体" w:hAnsi="宋体" w:cs="宋体"/>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自行监测类型</w:t>
            </w:r>
          </w:p>
        </w:tc>
        <w:tc>
          <w:tcPr>
            <w:tcW w:w="7169" w:type="dxa"/>
            <w:gridSpan w:val="6"/>
            <w:vAlign w:val="center"/>
          </w:tcPr>
          <w:p>
            <w:pPr>
              <w:jc w:val="center"/>
              <w:rPr>
                <w:color w:val="000000"/>
              </w:rPr>
            </w:pPr>
            <w:r>
              <w:rPr/>
              <w:sym w:font="Wingdings 2" w:char="F052"/>
            </w:r>
            <w:r>
              <w:rPr>
                <w:rFonts w:hint="eastAsia"/>
                <w:color w:val="000000"/>
              </w:rPr>
              <w:t>废水</w:t>
            </w:r>
            <w:r>
              <w:rPr>
                <w:rFonts w:hint="eastAsia"/>
              </w:rPr>
              <w:t>□</w:t>
            </w:r>
            <w:r>
              <w:rPr>
                <w:rFonts w:hint="eastAsia"/>
                <w:color w:val="000000"/>
              </w:rPr>
              <w:t>有组织废气</w:t>
            </w:r>
            <w:r>
              <w:rPr/>
              <w:sym w:font="Wingdings 2" w:char="F052"/>
            </w:r>
            <w:r>
              <w:rPr>
                <w:rFonts w:hint="eastAsia"/>
                <w:color w:val="000000"/>
              </w:rPr>
              <w:t>无组织废气</w:t>
            </w:r>
            <w:r>
              <w:rPr>
                <w:rFonts w:hint="eastAsia"/>
              </w:rPr>
              <w:t>□</w:t>
            </w:r>
            <w:r>
              <w:rPr>
                <w:rFonts w:hint="eastAsia"/>
                <w:color w:val="000000"/>
              </w:rPr>
              <w:t>厂界噪声</w:t>
            </w:r>
          </w:p>
          <w:p>
            <w:pPr>
              <w:jc w:val="center"/>
              <w:rPr>
                <w:color w:val="000000"/>
              </w:rPr>
            </w:pPr>
            <w:r>
              <w:rPr>
                <w:rFonts w:hint="eastAsia"/>
              </w:rPr>
              <w:t>□</w:t>
            </w:r>
            <w:r>
              <w:rPr>
                <w:rFonts w:hint="eastAsia"/>
                <w:color w:val="000000"/>
              </w:rPr>
              <w:t>周边环境水</w:t>
            </w:r>
            <w:r>
              <w:rPr>
                <w:rFonts w:hint="eastAsia"/>
              </w:rPr>
              <w:t>□</w:t>
            </w:r>
            <w:r>
              <w:rPr>
                <w:rFonts w:hint="eastAsia"/>
                <w:color w:val="000000"/>
              </w:rPr>
              <w:t>周边环境空气</w:t>
            </w:r>
            <w:r>
              <w:rPr>
                <w:rFonts w:hint="eastAsia"/>
              </w:rPr>
              <w:t>□</w:t>
            </w:r>
            <w:r>
              <w:rPr>
                <w:rFonts w:hint="eastAsia"/>
                <w:color w:val="000000"/>
              </w:rPr>
              <w:t>周边环境噪声</w:t>
            </w:r>
            <w:r>
              <w:rPr>
                <w:rFonts w:hint="eastAsia"/>
              </w:rPr>
              <w:t>□</w:t>
            </w:r>
            <w:r>
              <w:rPr>
                <w:rFonts w:hint="eastAsia"/>
                <w:color w:val="000000"/>
              </w:rPr>
              <w:t>周边环境土壤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自行监测方式</w:t>
            </w:r>
          </w:p>
        </w:tc>
        <w:tc>
          <w:tcPr>
            <w:tcW w:w="7169" w:type="dxa"/>
            <w:gridSpan w:val="6"/>
            <w:vAlign w:val="center"/>
          </w:tcPr>
          <w:p>
            <w:pPr>
              <w:rPr>
                <w:color w:val="000000"/>
              </w:rPr>
            </w:pPr>
            <w:r>
              <w:rPr/>
              <w:sym w:font="Wingdings 2" w:char="F052"/>
            </w:r>
            <w:r>
              <w:rPr>
                <w:rFonts w:hint="eastAsia"/>
                <w:color w:val="000000"/>
              </w:rPr>
              <w:t xml:space="preserve">自测           </w:t>
            </w:r>
            <w:r>
              <w:rPr/>
              <w:sym w:font="Wingdings 2" w:char="F052"/>
            </w:r>
            <w:r>
              <w:rPr>
                <w:rFonts w:hint="eastAsia"/>
                <w:color w:val="000000"/>
              </w:rPr>
              <w:t>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2376" w:type="dxa"/>
            <w:vAlign w:val="center"/>
          </w:tcPr>
          <w:p>
            <w:pPr>
              <w:jc w:val="center"/>
              <w:rPr>
                <w:color w:val="000000"/>
              </w:rPr>
            </w:pPr>
            <w:r>
              <w:rPr>
                <w:rFonts w:hint="eastAsia"/>
                <w:color w:val="000000"/>
              </w:rPr>
              <w:t>是否安装自动监测设备</w:t>
            </w:r>
          </w:p>
        </w:tc>
        <w:tc>
          <w:tcPr>
            <w:tcW w:w="1321" w:type="dxa"/>
            <w:vAlign w:val="center"/>
          </w:tcPr>
          <w:p>
            <w:r>
              <w:rPr>
                <w:rFonts w:hint="eastAsia"/>
              </w:rPr>
              <w:t>□是</w:t>
            </w:r>
            <w:r>
              <w:rPr/>
              <w:sym w:font="Wingdings 2" w:char="F052"/>
            </w:r>
            <w:r>
              <w:rPr>
                <w:rFonts w:hint="eastAsia"/>
              </w:rPr>
              <w:t>否</w:t>
            </w:r>
          </w:p>
        </w:tc>
        <w:tc>
          <w:tcPr>
            <w:tcW w:w="2226" w:type="dxa"/>
            <w:gridSpan w:val="2"/>
            <w:vAlign w:val="center"/>
          </w:tcPr>
          <w:p>
            <w:r>
              <w:rPr>
                <w:rFonts w:hint="eastAsia"/>
                <w:color w:val="000000"/>
              </w:rPr>
              <w:t>自动监测设备类型和监测项目</w:t>
            </w:r>
          </w:p>
        </w:tc>
        <w:tc>
          <w:tcPr>
            <w:tcW w:w="3622" w:type="dxa"/>
            <w:gridSpan w:val="3"/>
            <w:vAlign w:val="center"/>
          </w:tcPr>
          <w:p>
            <w:pPr>
              <w:rPr>
                <w:color w:val="000000"/>
              </w:rPr>
            </w:pPr>
            <w:r>
              <w:rPr>
                <w:rFonts w:hint="eastAsia"/>
              </w:rPr>
              <w:t>□</w:t>
            </w:r>
            <w:r>
              <w:rPr>
                <w:rFonts w:hint="eastAsia"/>
                <w:color w:val="000000"/>
              </w:rPr>
              <w:t>废水，项目：</w:t>
            </w:r>
          </w:p>
          <w:p>
            <w:r>
              <w:rPr>
                <w:rFonts w:hint="eastAsia"/>
              </w:rPr>
              <w:t>□</w:t>
            </w:r>
            <w:r>
              <w:rPr>
                <w:rFonts w:hint="eastAsia"/>
                <w:color w:val="000000"/>
              </w:rPr>
              <w:t>废气，项目：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exact"/>
        </w:trPr>
        <w:tc>
          <w:tcPr>
            <w:tcW w:w="2376" w:type="dxa"/>
            <w:vMerge w:val="restart"/>
            <w:vAlign w:val="center"/>
          </w:tcPr>
          <w:p>
            <w:pPr>
              <w:jc w:val="center"/>
            </w:pPr>
            <w:r>
              <w:rPr>
                <w:rFonts w:hint="eastAsia"/>
              </w:rPr>
              <w:t>周边环境情况</w:t>
            </w:r>
          </w:p>
        </w:tc>
        <w:tc>
          <w:tcPr>
            <w:tcW w:w="1321" w:type="dxa"/>
            <w:vAlign w:val="center"/>
          </w:tcPr>
          <w:p>
            <w:pPr>
              <w:jc w:val="center"/>
            </w:pPr>
            <w:r>
              <w:rPr>
                <w:rFonts w:hint="eastAsia"/>
              </w:rPr>
              <w:t>方位</w:t>
            </w:r>
          </w:p>
        </w:tc>
        <w:tc>
          <w:tcPr>
            <w:tcW w:w="2226" w:type="dxa"/>
            <w:gridSpan w:val="2"/>
            <w:vAlign w:val="center"/>
          </w:tcPr>
          <w:p>
            <w:pPr>
              <w:jc w:val="center"/>
            </w:pPr>
            <w:r>
              <w:rPr>
                <w:rFonts w:hint="eastAsia"/>
              </w:rPr>
              <w:t>距场界距离（单位）</w:t>
            </w:r>
          </w:p>
        </w:tc>
        <w:tc>
          <w:tcPr>
            <w:tcW w:w="3622" w:type="dxa"/>
            <w:gridSpan w:val="3"/>
            <w:vAlign w:val="center"/>
          </w:tcPr>
          <w:p>
            <w:pPr>
              <w:jc w:val="center"/>
            </w:pPr>
            <w:r>
              <w:rPr>
                <w:rFonts w:hint="eastAsia"/>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exact"/>
        </w:trPr>
        <w:tc>
          <w:tcPr>
            <w:tcW w:w="2376" w:type="dxa"/>
            <w:vMerge w:val="continue"/>
            <w:vAlign w:val="center"/>
          </w:tcPr>
          <w:p>
            <w:pPr>
              <w:jc w:val="center"/>
            </w:pPr>
          </w:p>
        </w:tc>
        <w:tc>
          <w:tcPr>
            <w:tcW w:w="1321" w:type="dxa"/>
            <w:vAlign w:val="center"/>
          </w:tcPr>
          <w:p>
            <w:pPr>
              <w:jc w:val="center"/>
            </w:pPr>
            <w:r>
              <w:rPr>
                <w:rFonts w:hint="eastAsia"/>
              </w:rPr>
              <w:t>东</w:t>
            </w:r>
          </w:p>
        </w:tc>
        <w:tc>
          <w:tcPr>
            <w:tcW w:w="2226" w:type="dxa"/>
            <w:gridSpan w:val="2"/>
            <w:vAlign w:val="center"/>
          </w:tcPr>
          <w:p>
            <w:pPr>
              <w:jc w:val="center"/>
            </w:pPr>
            <w:r>
              <w:t>200</w:t>
            </w:r>
            <w:r>
              <w:rPr>
                <w:rFonts w:hint="eastAsia"/>
              </w:rPr>
              <w:t>米</w:t>
            </w:r>
          </w:p>
        </w:tc>
        <w:tc>
          <w:tcPr>
            <w:tcW w:w="3622" w:type="dxa"/>
            <w:gridSpan w:val="3"/>
            <w:vAlign w:val="center"/>
          </w:tcPr>
          <w:p>
            <w:pPr>
              <w:jc w:val="center"/>
            </w:pPr>
            <w:r>
              <w:rPr>
                <w:rFonts w:hint="eastAsia"/>
              </w:rPr>
              <w:t>大堰三村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exact"/>
        </w:trPr>
        <w:tc>
          <w:tcPr>
            <w:tcW w:w="2376" w:type="dxa"/>
            <w:vMerge w:val="continue"/>
            <w:vAlign w:val="center"/>
          </w:tcPr>
          <w:p>
            <w:pPr>
              <w:jc w:val="center"/>
            </w:pPr>
          </w:p>
        </w:tc>
        <w:tc>
          <w:tcPr>
            <w:tcW w:w="1321" w:type="dxa"/>
            <w:vAlign w:val="center"/>
          </w:tcPr>
          <w:p>
            <w:pPr>
              <w:jc w:val="center"/>
            </w:pPr>
            <w:r>
              <w:rPr>
                <w:rFonts w:hint="eastAsia"/>
              </w:rPr>
              <w:t>南</w:t>
            </w:r>
          </w:p>
        </w:tc>
        <w:tc>
          <w:tcPr>
            <w:tcW w:w="2226" w:type="dxa"/>
            <w:gridSpan w:val="2"/>
            <w:vAlign w:val="center"/>
          </w:tcPr>
          <w:p>
            <w:pPr>
              <w:jc w:val="center"/>
            </w:pPr>
            <w:r>
              <w:t>0</w:t>
            </w:r>
          </w:p>
        </w:tc>
        <w:tc>
          <w:tcPr>
            <w:tcW w:w="3622" w:type="dxa"/>
            <w:gridSpan w:val="3"/>
            <w:vAlign w:val="center"/>
          </w:tcPr>
          <w:p>
            <w:pPr>
              <w:jc w:val="center"/>
            </w:pPr>
            <w:r>
              <w:rPr>
                <w:rFonts w:hint="eastAsia"/>
              </w:rPr>
              <w:t>院内空地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exact"/>
        </w:trPr>
        <w:tc>
          <w:tcPr>
            <w:tcW w:w="2376" w:type="dxa"/>
            <w:vMerge w:val="continue"/>
            <w:vAlign w:val="center"/>
          </w:tcPr>
          <w:p>
            <w:pPr>
              <w:jc w:val="center"/>
            </w:pPr>
          </w:p>
        </w:tc>
        <w:tc>
          <w:tcPr>
            <w:tcW w:w="1321" w:type="dxa"/>
            <w:vAlign w:val="center"/>
          </w:tcPr>
          <w:p>
            <w:pPr>
              <w:jc w:val="center"/>
            </w:pPr>
            <w:r>
              <w:rPr>
                <w:rFonts w:hint="eastAsia"/>
              </w:rPr>
              <w:t>西</w:t>
            </w:r>
          </w:p>
        </w:tc>
        <w:tc>
          <w:tcPr>
            <w:tcW w:w="2226" w:type="dxa"/>
            <w:gridSpan w:val="2"/>
            <w:vAlign w:val="center"/>
          </w:tcPr>
          <w:p>
            <w:pPr>
              <w:jc w:val="center"/>
            </w:pPr>
            <w:r>
              <w:t>0</w:t>
            </w:r>
          </w:p>
        </w:tc>
        <w:tc>
          <w:tcPr>
            <w:tcW w:w="3622" w:type="dxa"/>
            <w:gridSpan w:val="3"/>
            <w:vAlign w:val="center"/>
          </w:tcPr>
          <w:p>
            <w:pPr>
              <w:jc w:val="center"/>
            </w:pPr>
            <w:r>
              <w:rPr>
                <w:rFonts w:hint="eastAsia"/>
              </w:rPr>
              <w:t>重钢总医院空地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exact"/>
        </w:trPr>
        <w:tc>
          <w:tcPr>
            <w:tcW w:w="2376" w:type="dxa"/>
            <w:vMerge w:val="continue"/>
            <w:vAlign w:val="center"/>
          </w:tcPr>
          <w:p>
            <w:pPr>
              <w:jc w:val="center"/>
            </w:pPr>
          </w:p>
        </w:tc>
        <w:tc>
          <w:tcPr>
            <w:tcW w:w="1321" w:type="dxa"/>
            <w:vAlign w:val="center"/>
          </w:tcPr>
          <w:p>
            <w:pPr>
              <w:jc w:val="center"/>
            </w:pPr>
            <w:r>
              <w:rPr>
                <w:rFonts w:hint="eastAsia"/>
              </w:rPr>
              <w:t>北</w:t>
            </w:r>
          </w:p>
        </w:tc>
        <w:tc>
          <w:tcPr>
            <w:tcW w:w="2226" w:type="dxa"/>
            <w:gridSpan w:val="2"/>
            <w:vAlign w:val="center"/>
          </w:tcPr>
          <w:p>
            <w:pPr>
              <w:jc w:val="center"/>
            </w:pPr>
            <w:r>
              <w:t>100</w:t>
            </w:r>
            <w:r>
              <w:rPr>
                <w:rFonts w:hint="eastAsia"/>
              </w:rPr>
              <w:t>米</w:t>
            </w:r>
          </w:p>
        </w:tc>
        <w:tc>
          <w:tcPr>
            <w:tcW w:w="3622" w:type="dxa"/>
            <w:gridSpan w:val="3"/>
            <w:vAlign w:val="center"/>
          </w:tcPr>
          <w:p>
            <w:pPr>
              <w:jc w:val="center"/>
            </w:pPr>
            <w:r>
              <w:rPr>
                <w:rFonts w:hint="eastAsia"/>
              </w:rPr>
              <w:t>朵力小区</w:t>
            </w:r>
          </w:p>
        </w:tc>
      </w:tr>
    </w:tbl>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二、自行监测内容</w:t>
      </w:r>
    </w:p>
    <w:p>
      <w:pPr>
        <w:spacing w:line="4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2.1 </w:t>
      </w:r>
      <w:r>
        <w:rPr>
          <w:rFonts w:hint="eastAsia" w:asciiTheme="minorEastAsia" w:hAnsiTheme="minorEastAsia" w:eastAsiaTheme="minorEastAsia"/>
          <w:sz w:val="24"/>
          <w:szCs w:val="24"/>
        </w:rPr>
        <w:t>污染源手工监测点位、指标和频次</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按照国家、地方污染物排放（控制）标准，结合行业特点和环评、验收资料以及排污许可证要求，我院自行手工监测污染源废水和废气指标和频次见表</w:t>
      </w:r>
      <w:r>
        <w:rPr>
          <w:rFonts w:asciiTheme="minorEastAsia" w:hAnsiTheme="minorEastAsia" w:eastAsiaTheme="minorEastAsia"/>
          <w:sz w:val="24"/>
          <w:szCs w:val="24"/>
        </w:rPr>
        <w:t>2-1-1</w:t>
      </w:r>
      <w:r>
        <w:rPr>
          <w:rFonts w:hint="eastAsia" w:asciiTheme="minorEastAsia" w:hAnsiTheme="minorEastAsia" w:eastAsiaTheme="minorEastAsia"/>
          <w:sz w:val="24"/>
          <w:szCs w:val="24"/>
        </w:rPr>
        <w:t>。</w:t>
      </w:r>
    </w:p>
    <w:p>
      <w:pPr>
        <w:spacing w:line="440" w:lineRule="exact"/>
        <w:jc w:val="center"/>
        <w:rPr>
          <w:rFonts w:asciiTheme="minorEastAsia" w:hAnsiTheme="minorEastAsia" w:eastAsiaTheme="minorEastAsia"/>
          <w:b/>
          <w:bCs/>
          <w:sz w:val="24"/>
          <w:szCs w:val="24"/>
          <w:highlight w:val="yellow"/>
        </w:rPr>
      </w:pPr>
      <w:r>
        <w:rPr>
          <w:rFonts w:hint="eastAsia" w:asciiTheme="minorEastAsia" w:hAnsiTheme="minorEastAsia" w:eastAsiaTheme="minorEastAsia"/>
          <w:b/>
          <w:bCs/>
          <w:sz w:val="24"/>
          <w:szCs w:val="24"/>
        </w:rPr>
        <w:t>表</w:t>
      </w:r>
      <w:r>
        <w:rPr>
          <w:rFonts w:asciiTheme="minorEastAsia" w:hAnsiTheme="minorEastAsia" w:eastAsiaTheme="minorEastAsia"/>
          <w:b/>
          <w:bCs/>
          <w:sz w:val="24"/>
          <w:szCs w:val="24"/>
        </w:rPr>
        <w:t>2-1-1</w:t>
      </w:r>
      <w:r>
        <w:rPr>
          <w:rFonts w:hint="eastAsia" w:asciiTheme="minorEastAsia" w:hAnsiTheme="minorEastAsia" w:eastAsiaTheme="minorEastAsia"/>
          <w:b/>
          <w:bCs/>
          <w:sz w:val="24"/>
          <w:szCs w:val="24"/>
        </w:rPr>
        <w:t>监测点位、指标和频次</w:t>
      </w:r>
    </w:p>
    <w:tbl>
      <w:tblPr>
        <w:tblStyle w:val="13"/>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417"/>
        <w:gridCol w:w="1276"/>
        <w:gridCol w:w="2192"/>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240" w:lineRule="atLeast"/>
              <w:jc w:val="center"/>
              <w:rPr>
                <w:rFonts w:asciiTheme="minorEastAsia" w:hAnsiTheme="minorEastAsia" w:eastAsiaTheme="minorEastAsia"/>
                <w:color w:val="000000"/>
              </w:rPr>
            </w:pPr>
            <w:r>
              <w:rPr>
                <w:rFonts w:hint="eastAsia" w:asciiTheme="minorEastAsia" w:hAnsiTheme="minorEastAsia" w:eastAsiaTheme="minorEastAsia"/>
                <w:color w:val="000000"/>
              </w:rPr>
              <w:t>类别</w:t>
            </w:r>
          </w:p>
        </w:tc>
        <w:tc>
          <w:tcPr>
            <w:tcW w:w="1134" w:type="dxa"/>
            <w:vAlign w:val="center"/>
          </w:tcPr>
          <w:p>
            <w:pPr>
              <w:spacing w:line="240" w:lineRule="atLeast"/>
              <w:jc w:val="center"/>
              <w:rPr>
                <w:rFonts w:asciiTheme="minorEastAsia" w:hAnsiTheme="minorEastAsia" w:eastAsiaTheme="minorEastAsia"/>
                <w:color w:val="000000"/>
              </w:rPr>
            </w:pPr>
            <w:r>
              <w:rPr>
                <w:rFonts w:hint="eastAsia" w:asciiTheme="minorEastAsia" w:hAnsiTheme="minorEastAsia" w:eastAsiaTheme="minorEastAsia"/>
                <w:color w:val="000000"/>
              </w:rPr>
              <w:t>污染源</w:t>
            </w:r>
          </w:p>
        </w:tc>
        <w:tc>
          <w:tcPr>
            <w:tcW w:w="1417" w:type="dxa"/>
            <w:vAlign w:val="center"/>
          </w:tcPr>
          <w:p>
            <w:pPr>
              <w:spacing w:line="240" w:lineRule="atLeast"/>
              <w:jc w:val="center"/>
              <w:rPr>
                <w:rFonts w:asciiTheme="minorEastAsia" w:hAnsiTheme="minorEastAsia" w:eastAsiaTheme="minorEastAsia"/>
                <w:color w:val="000000"/>
              </w:rPr>
            </w:pPr>
            <w:r>
              <w:rPr>
                <w:rFonts w:hint="eastAsia" w:asciiTheme="minorEastAsia" w:hAnsiTheme="minorEastAsia" w:eastAsiaTheme="minorEastAsia"/>
                <w:color w:val="000000"/>
              </w:rPr>
              <w:t>监测点位</w:t>
            </w:r>
          </w:p>
        </w:tc>
        <w:tc>
          <w:tcPr>
            <w:tcW w:w="1276" w:type="dxa"/>
            <w:vAlign w:val="center"/>
          </w:tcPr>
          <w:p>
            <w:pPr>
              <w:spacing w:line="240" w:lineRule="atLeast"/>
              <w:jc w:val="center"/>
              <w:rPr>
                <w:rFonts w:asciiTheme="minorEastAsia" w:hAnsiTheme="minorEastAsia" w:eastAsiaTheme="minorEastAsia"/>
                <w:color w:val="000000"/>
              </w:rPr>
            </w:pPr>
            <w:r>
              <w:rPr>
                <w:rFonts w:hint="eastAsia" w:asciiTheme="minorEastAsia" w:hAnsiTheme="minorEastAsia" w:eastAsiaTheme="minorEastAsia"/>
                <w:color w:val="000000"/>
              </w:rPr>
              <w:t>自动监测指标</w:t>
            </w:r>
          </w:p>
        </w:tc>
        <w:tc>
          <w:tcPr>
            <w:tcW w:w="2192" w:type="dxa"/>
            <w:vAlign w:val="center"/>
          </w:tcPr>
          <w:p>
            <w:pPr>
              <w:spacing w:line="240" w:lineRule="atLeast"/>
              <w:jc w:val="center"/>
              <w:rPr>
                <w:rFonts w:asciiTheme="minorEastAsia" w:hAnsiTheme="minorEastAsia" w:eastAsiaTheme="minorEastAsia"/>
                <w:color w:val="000000"/>
              </w:rPr>
            </w:pPr>
            <w:r>
              <w:rPr>
                <w:rFonts w:hint="eastAsia" w:asciiTheme="minorEastAsia" w:hAnsiTheme="minorEastAsia" w:eastAsiaTheme="minorEastAsia"/>
                <w:color w:val="000000"/>
              </w:rPr>
              <w:t>手工监测指标</w:t>
            </w:r>
          </w:p>
        </w:tc>
        <w:tc>
          <w:tcPr>
            <w:tcW w:w="1705" w:type="dxa"/>
            <w:vAlign w:val="center"/>
          </w:tcPr>
          <w:p>
            <w:pPr>
              <w:spacing w:line="240" w:lineRule="atLeast"/>
              <w:jc w:val="center"/>
              <w:rPr>
                <w:rFonts w:asciiTheme="minorEastAsia" w:hAnsiTheme="minorEastAsia" w:eastAsiaTheme="minorEastAsia"/>
                <w:color w:val="000000"/>
              </w:rPr>
            </w:pPr>
            <w:r>
              <w:rPr>
                <w:rFonts w:hint="eastAsia" w:asciiTheme="minorEastAsia" w:hAnsiTheme="minorEastAsia" w:eastAsiaTheme="minorEastAsia"/>
                <w:color w:val="000000"/>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废气无组织排放</w:t>
            </w:r>
          </w:p>
        </w:tc>
        <w:tc>
          <w:tcPr>
            <w:tcW w:w="1134"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污水处理站</w:t>
            </w:r>
          </w:p>
        </w:tc>
        <w:tc>
          <w:tcPr>
            <w:tcW w:w="1417"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污水处理站周界</w:t>
            </w:r>
          </w:p>
        </w:tc>
        <w:tc>
          <w:tcPr>
            <w:tcW w:w="1276" w:type="dxa"/>
            <w:vAlign w:val="center"/>
          </w:tcPr>
          <w:p>
            <w:pPr>
              <w:spacing w:line="240" w:lineRule="atLeast"/>
              <w:jc w:val="center"/>
              <w:rPr>
                <w:rFonts w:asciiTheme="minorEastAsia" w:hAnsiTheme="minorEastAsia" w:eastAsiaTheme="minorEastAsia"/>
              </w:rPr>
            </w:pPr>
            <w:r>
              <w:rPr>
                <w:rFonts w:asciiTheme="minorEastAsia" w:hAnsiTheme="minorEastAsia" w:eastAsiaTheme="minorEastAsia"/>
              </w:rPr>
              <w:t>/</w:t>
            </w:r>
          </w:p>
        </w:tc>
        <w:tc>
          <w:tcPr>
            <w:tcW w:w="2192"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甲烷、臭气浓度、氯（氯气）、氨（氨气）、硫化氢</w:t>
            </w:r>
          </w:p>
        </w:tc>
        <w:tc>
          <w:tcPr>
            <w:tcW w:w="1705" w:type="dxa"/>
            <w:vAlign w:val="center"/>
          </w:tcPr>
          <w:p>
            <w:pPr>
              <w:spacing w:line="240" w:lineRule="atLeast"/>
              <w:jc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次</w:t>
            </w:r>
            <w:r>
              <w:rPr>
                <w:rFonts w:asciiTheme="minorEastAsia" w:hAnsiTheme="minorEastAsia" w:eastAsiaTheme="minorEastAsia"/>
              </w:rPr>
              <w:t>/</w:t>
            </w:r>
            <w:r>
              <w:rPr>
                <w:rFonts w:hint="eastAsia" w:asciiTheme="minorEastAsia" w:hAnsiTheme="minorEastAsia" w:eastAsiaTheme="minorEastAsia"/>
              </w:rPr>
              <w:t>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restart"/>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废水排放</w:t>
            </w:r>
          </w:p>
        </w:tc>
        <w:tc>
          <w:tcPr>
            <w:tcW w:w="1134" w:type="dxa"/>
            <w:vMerge w:val="restart"/>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污水处理站</w:t>
            </w:r>
          </w:p>
        </w:tc>
        <w:tc>
          <w:tcPr>
            <w:tcW w:w="1417" w:type="dxa"/>
            <w:vMerge w:val="restart"/>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污水总排放口</w:t>
            </w:r>
          </w:p>
        </w:tc>
        <w:tc>
          <w:tcPr>
            <w:tcW w:w="1276" w:type="dxa"/>
            <w:vAlign w:val="center"/>
          </w:tcPr>
          <w:p>
            <w:pPr>
              <w:spacing w:line="240" w:lineRule="atLeast"/>
              <w:jc w:val="center"/>
              <w:rPr>
                <w:rFonts w:asciiTheme="minorEastAsia" w:hAnsiTheme="minorEastAsia" w:eastAsiaTheme="minorEastAsia"/>
              </w:rPr>
            </w:pPr>
            <w:r>
              <w:rPr>
                <w:rFonts w:asciiTheme="minorEastAsia" w:hAnsiTheme="minorEastAsia" w:eastAsiaTheme="minorEastAsia"/>
              </w:rPr>
              <w:t>/</w:t>
            </w:r>
          </w:p>
        </w:tc>
        <w:tc>
          <w:tcPr>
            <w:tcW w:w="2192" w:type="dxa"/>
            <w:vAlign w:val="center"/>
          </w:tcPr>
          <w:p>
            <w:pPr>
              <w:spacing w:line="240" w:lineRule="atLeast"/>
              <w:jc w:val="center"/>
              <w:rPr>
                <w:rFonts w:asciiTheme="minorEastAsia" w:hAnsiTheme="minorEastAsia" w:eastAsiaTheme="minorEastAsia"/>
              </w:rPr>
            </w:pPr>
            <w:r>
              <w:rPr>
                <w:rFonts w:asciiTheme="minorEastAsia" w:hAnsiTheme="minorEastAsia" w:eastAsiaTheme="minorEastAsia"/>
              </w:rPr>
              <w:t>pH</w:t>
            </w:r>
          </w:p>
        </w:tc>
        <w:tc>
          <w:tcPr>
            <w:tcW w:w="1705" w:type="dxa"/>
            <w:vAlign w:val="center"/>
          </w:tcPr>
          <w:p>
            <w:pPr>
              <w:spacing w:line="240" w:lineRule="atLeast"/>
              <w:jc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次</w:t>
            </w:r>
            <w:r>
              <w:rPr>
                <w:rFonts w:asciiTheme="minorEastAsia" w:hAnsiTheme="minorEastAsia" w:eastAsiaTheme="minorEastAsia"/>
              </w:rPr>
              <w:t>/12</w:t>
            </w:r>
            <w:r>
              <w:rPr>
                <w:rFonts w:hint="eastAsia" w:asciiTheme="minorEastAsia" w:hAnsiTheme="minorEastAsia" w:eastAsiaTheme="minorEastAsia"/>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vAlign w:val="center"/>
          </w:tcPr>
          <w:p>
            <w:pPr>
              <w:spacing w:line="240" w:lineRule="atLeast"/>
              <w:jc w:val="center"/>
              <w:rPr>
                <w:rFonts w:asciiTheme="minorEastAsia" w:hAnsiTheme="minorEastAsia" w:eastAsiaTheme="minorEastAsia"/>
              </w:rPr>
            </w:pPr>
          </w:p>
        </w:tc>
        <w:tc>
          <w:tcPr>
            <w:tcW w:w="1134" w:type="dxa"/>
            <w:vMerge w:val="continue"/>
            <w:vAlign w:val="center"/>
          </w:tcPr>
          <w:p>
            <w:pPr>
              <w:spacing w:line="240" w:lineRule="atLeast"/>
              <w:jc w:val="center"/>
              <w:rPr>
                <w:rFonts w:asciiTheme="minorEastAsia" w:hAnsiTheme="minorEastAsia" w:eastAsiaTheme="minorEastAsia"/>
              </w:rPr>
            </w:pPr>
          </w:p>
        </w:tc>
        <w:tc>
          <w:tcPr>
            <w:tcW w:w="1417" w:type="dxa"/>
            <w:vMerge w:val="continue"/>
            <w:vAlign w:val="center"/>
          </w:tcPr>
          <w:p>
            <w:pPr>
              <w:spacing w:line="240" w:lineRule="atLeast"/>
              <w:jc w:val="center"/>
              <w:rPr>
                <w:rFonts w:asciiTheme="minorEastAsia" w:hAnsiTheme="minorEastAsia" w:eastAsiaTheme="minorEastAsia"/>
              </w:rPr>
            </w:pPr>
          </w:p>
        </w:tc>
        <w:tc>
          <w:tcPr>
            <w:tcW w:w="1276" w:type="dxa"/>
            <w:vAlign w:val="center"/>
          </w:tcPr>
          <w:p>
            <w:pPr>
              <w:spacing w:line="240" w:lineRule="atLeast"/>
              <w:jc w:val="center"/>
              <w:rPr>
                <w:rFonts w:asciiTheme="minorEastAsia" w:hAnsiTheme="minorEastAsia" w:eastAsiaTheme="minorEastAsia"/>
              </w:rPr>
            </w:pPr>
            <w:r>
              <w:rPr>
                <w:rFonts w:asciiTheme="minorEastAsia" w:hAnsiTheme="minorEastAsia" w:eastAsiaTheme="minorEastAsia"/>
              </w:rPr>
              <w:t>/</w:t>
            </w:r>
          </w:p>
        </w:tc>
        <w:tc>
          <w:tcPr>
            <w:tcW w:w="2192"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悬浮物、化学需氧量</w:t>
            </w:r>
          </w:p>
        </w:tc>
        <w:tc>
          <w:tcPr>
            <w:tcW w:w="1705" w:type="dxa"/>
            <w:vAlign w:val="center"/>
          </w:tcPr>
          <w:p>
            <w:pPr>
              <w:spacing w:line="240" w:lineRule="atLeast"/>
              <w:jc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次</w:t>
            </w:r>
            <w:r>
              <w:rPr>
                <w:rFonts w:asciiTheme="minorEastAsia" w:hAnsiTheme="minorEastAsia" w:eastAsiaTheme="minorEastAsia"/>
              </w:rPr>
              <w:t>/</w:t>
            </w:r>
            <w:r>
              <w:rPr>
                <w:rFonts w:hint="eastAsia" w:asciiTheme="minorEastAsia" w:hAnsiTheme="minorEastAsia" w:eastAsiaTheme="minorEastAsia"/>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vAlign w:val="center"/>
          </w:tcPr>
          <w:p>
            <w:pPr>
              <w:spacing w:line="240" w:lineRule="atLeast"/>
              <w:jc w:val="center"/>
              <w:rPr>
                <w:rFonts w:asciiTheme="minorEastAsia" w:hAnsiTheme="minorEastAsia" w:eastAsiaTheme="minorEastAsia"/>
              </w:rPr>
            </w:pPr>
          </w:p>
        </w:tc>
        <w:tc>
          <w:tcPr>
            <w:tcW w:w="1134" w:type="dxa"/>
            <w:vMerge w:val="continue"/>
            <w:vAlign w:val="center"/>
          </w:tcPr>
          <w:p>
            <w:pPr>
              <w:spacing w:line="240" w:lineRule="atLeast"/>
              <w:jc w:val="center"/>
              <w:rPr>
                <w:rFonts w:asciiTheme="minorEastAsia" w:hAnsiTheme="minorEastAsia" w:eastAsiaTheme="minorEastAsia"/>
              </w:rPr>
            </w:pPr>
          </w:p>
        </w:tc>
        <w:tc>
          <w:tcPr>
            <w:tcW w:w="1417" w:type="dxa"/>
            <w:vMerge w:val="continue"/>
            <w:vAlign w:val="center"/>
          </w:tcPr>
          <w:p>
            <w:pPr>
              <w:spacing w:line="240" w:lineRule="atLeast"/>
              <w:jc w:val="center"/>
              <w:rPr>
                <w:rFonts w:asciiTheme="minorEastAsia" w:hAnsiTheme="minorEastAsia" w:eastAsiaTheme="minorEastAsia"/>
              </w:rPr>
            </w:pPr>
          </w:p>
        </w:tc>
        <w:tc>
          <w:tcPr>
            <w:tcW w:w="1276" w:type="dxa"/>
            <w:vAlign w:val="center"/>
          </w:tcPr>
          <w:p>
            <w:pPr>
              <w:spacing w:line="240" w:lineRule="atLeast"/>
              <w:ind w:firstLine="480"/>
              <w:rPr>
                <w:rFonts w:asciiTheme="minorEastAsia" w:hAnsiTheme="minorEastAsia" w:eastAsiaTheme="minorEastAsia"/>
              </w:rPr>
            </w:pPr>
            <w:r>
              <w:rPr>
                <w:rFonts w:asciiTheme="minorEastAsia" w:hAnsiTheme="minorEastAsia" w:eastAsiaTheme="minorEastAsia"/>
              </w:rPr>
              <w:t>/</w:t>
            </w:r>
          </w:p>
        </w:tc>
        <w:tc>
          <w:tcPr>
            <w:tcW w:w="2192"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五日生化需氧量、阴离子表面活性剂、石油类、动植物油、挥发酚、总氰化物</w:t>
            </w:r>
          </w:p>
        </w:tc>
        <w:tc>
          <w:tcPr>
            <w:tcW w:w="1705" w:type="dxa"/>
            <w:vAlign w:val="center"/>
          </w:tcPr>
          <w:p>
            <w:pPr>
              <w:spacing w:line="240" w:lineRule="atLeast"/>
              <w:jc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次</w:t>
            </w:r>
            <w:r>
              <w:rPr>
                <w:rFonts w:asciiTheme="minorEastAsia" w:hAnsiTheme="minorEastAsia" w:eastAsiaTheme="minorEastAsia"/>
              </w:rPr>
              <w:t>/</w:t>
            </w:r>
            <w:r>
              <w:rPr>
                <w:rFonts w:hint="eastAsia" w:asciiTheme="minorEastAsia" w:hAnsiTheme="minorEastAsia" w:eastAsiaTheme="minorEastAsia"/>
              </w:rPr>
              <w:t>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restart"/>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废水排放</w:t>
            </w:r>
          </w:p>
        </w:tc>
        <w:tc>
          <w:tcPr>
            <w:tcW w:w="1134" w:type="dxa"/>
            <w:vMerge w:val="restart"/>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污水处理站</w:t>
            </w:r>
          </w:p>
        </w:tc>
        <w:tc>
          <w:tcPr>
            <w:tcW w:w="1417" w:type="dxa"/>
            <w:vMerge w:val="restart"/>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污水总排放口</w:t>
            </w:r>
          </w:p>
        </w:tc>
        <w:tc>
          <w:tcPr>
            <w:tcW w:w="1276" w:type="dxa"/>
            <w:vAlign w:val="center"/>
          </w:tcPr>
          <w:p>
            <w:pPr>
              <w:spacing w:line="240" w:lineRule="atLeast"/>
              <w:ind w:firstLine="480"/>
              <w:jc w:val="center"/>
              <w:rPr>
                <w:rFonts w:asciiTheme="minorEastAsia" w:hAnsiTheme="minorEastAsia" w:eastAsiaTheme="minorEastAsia"/>
              </w:rPr>
            </w:pPr>
            <w:r>
              <w:rPr>
                <w:rFonts w:asciiTheme="minorEastAsia" w:hAnsiTheme="minorEastAsia" w:eastAsiaTheme="minorEastAsia"/>
              </w:rPr>
              <w:t>/</w:t>
            </w:r>
          </w:p>
        </w:tc>
        <w:tc>
          <w:tcPr>
            <w:tcW w:w="2192"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粪大肠菌群</w:t>
            </w:r>
          </w:p>
        </w:tc>
        <w:tc>
          <w:tcPr>
            <w:tcW w:w="1705" w:type="dxa"/>
            <w:vAlign w:val="center"/>
          </w:tcPr>
          <w:p>
            <w:pPr>
              <w:spacing w:line="240" w:lineRule="atLeast"/>
              <w:jc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次</w:t>
            </w:r>
            <w:r>
              <w:rPr>
                <w:rFonts w:asciiTheme="minorEastAsia" w:hAnsiTheme="minorEastAsia" w:eastAsiaTheme="minorEastAsia"/>
              </w:rPr>
              <w:t>/</w:t>
            </w:r>
            <w:r>
              <w:rPr>
                <w:rFonts w:hint="eastAsia" w:asciiTheme="minorEastAsia" w:hAnsiTheme="minorEastAsia" w:eastAsiaTheme="minor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vAlign w:val="center"/>
          </w:tcPr>
          <w:p>
            <w:pPr>
              <w:spacing w:line="240" w:lineRule="atLeast"/>
              <w:jc w:val="center"/>
              <w:rPr>
                <w:rFonts w:asciiTheme="minorEastAsia" w:hAnsiTheme="minorEastAsia" w:eastAsiaTheme="minorEastAsia"/>
              </w:rPr>
            </w:pPr>
          </w:p>
        </w:tc>
        <w:tc>
          <w:tcPr>
            <w:tcW w:w="1134" w:type="dxa"/>
            <w:vMerge w:val="continue"/>
            <w:vAlign w:val="center"/>
          </w:tcPr>
          <w:p>
            <w:pPr>
              <w:spacing w:line="240" w:lineRule="atLeast"/>
              <w:jc w:val="center"/>
              <w:rPr>
                <w:rFonts w:asciiTheme="minorEastAsia" w:hAnsiTheme="minorEastAsia" w:eastAsiaTheme="minorEastAsia"/>
              </w:rPr>
            </w:pPr>
          </w:p>
        </w:tc>
        <w:tc>
          <w:tcPr>
            <w:tcW w:w="1417" w:type="dxa"/>
            <w:vMerge w:val="continue"/>
            <w:vAlign w:val="center"/>
          </w:tcPr>
          <w:p>
            <w:pPr>
              <w:spacing w:line="240" w:lineRule="atLeast"/>
              <w:jc w:val="center"/>
              <w:rPr>
                <w:rFonts w:asciiTheme="minorEastAsia" w:hAnsiTheme="minorEastAsia" w:eastAsiaTheme="minorEastAsia"/>
              </w:rPr>
            </w:pPr>
          </w:p>
        </w:tc>
        <w:tc>
          <w:tcPr>
            <w:tcW w:w="1276" w:type="dxa"/>
            <w:vAlign w:val="center"/>
          </w:tcPr>
          <w:p>
            <w:pPr>
              <w:spacing w:line="240" w:lineRule="atLeast"/>
              <w:ind w:firstLine="480"/>
              <w:jc w:val="center"/>
              <w:rPr>
                <w:rFonts w:asciiTheme="minorEastAsia" w:hAnsiTheme="minorEastAsia" w:eastAsiaTheme="minorEastAsia"/>
              </w:rPr>
            </w:pPr>
            <w:r>
              <w:rPr>
                <w:rFonts w:asciiTheme="minorEastAsia" w:hAnsiTheme="minorEastAsia" w:eastAsiaTheme="minorEastAsia"/>
              </w:rPr>
              <w:t>/</w:t>
            </w:r>
          </w:p>
        </w:tc>
        <w:tc>
          <w:tcPr>
            <w:tcW w:w="2192"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流量</w:t>
            </w:r>
          </w:p>
        </w:tc>
        <w:tc>
          <w:tcPr>
            <w:tcW w:w="1705" w:type="dxa"/>
            <w:vAlign w:val="center"/>
          </w:tcPr>
          <w:p>
            <w:pPr>
              <w:spacing w:line="240" w:lineRule="atLeast"/>
              <w:jc w:val="center"/>
              <w:rPr>
                <w:rFonts w:asciiTheme="minorEastAsia" w:hAnsiTheme="minorEastAsia" w:eastAsiaTheme="minorEastAsia"/>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vAlign w:val="center"/>
          </w:tcPr>
          <w:p>
            <w:pPr>
              <w:spacing w:line="240" w:lineRule="atLeast"/>
              <w:jc w:val="center"/>
              <w:rPr>
                <w:rFonts w:asciiTheme="minorEastAsia" w:hAnsiTheme="minorEastAsia" w:eastAsiaTheme="minorEastAsia"/>
              </w:rPr>
            </w:pPr>
          </w:p>
        </w:tc>
        <w:tc>
          <w:tcPr>
            <w:tcW w:w="1134" w:type="dxa"/>
            <w:vMerge w:val="continue"/>
            <w:vAlign w:val="center"/>
          </w:tcPr>
          <w:p>
            <w:pPr>
              <w:spacing w:line="240" w:lineRule="atLeast"/>
              <w:jc w:val="center"/>
              <w:rPr>
                <w:rFonts w:asciiTheme="minorEastAsia" w:hAnsiTheme="minorEastAsia" w:eastAsiaTheme="minorEastAsia"/>
              </w:rPr>
            </w:pPr>
          </w:p>
        </w:tc>
        <w:tc>
          <w:tcPr>
            <w:tcW w:w="1417" w:type="dxa"/>
            <w:vMerge w:val="continue"/>
            <w:vAlign w:val="center"/>
          </w:tcPr>
          <w:p>
            <w:pPr>
              <w:spacing w:line="240" w:lineRule="atLeast"/>
              <w:jc w:val="center"/>
              <w:rPr>
                <w:rFonts w:asciiTheme="minorEastAsia" w:hAnsiTheme="minorEastAsia" w:eastAsiaTheme="minorEastAsia"/>
              </w:rPr>
            </w:pPr>
          </w:p>
        </w:tc>
        <w:tc>
          <w:tcPr>
            <w:tcW w:w="1276" w:type="dxa"/>
            <w:vAlign w:val="center"/>
          </w:tcPr>
          <w:p>
            <w:pPr>
              <w:spacing w:line="240" w:lineRule="atLeast"/>
              <w:ind w:firstLine="480"/>
              <w:jc w:val="center"/>
              <w:rPr>
                <w:rFonts w:asciiTheme="minorEastAsia" w:hAnsiTheme="minorEastAsia" w:eastAsiaTheme="minorEastAsia"/>
              </w:rPr>
            </w:pPr>
            <w:r>
              <w:rPr>
                <w:rFonts w:asciiTheme="minorEastAsia" w:hAnsiTheme="minorEastAsia" w:eastAsiaTheme="minorEastAsia"/>
              </w:rPr>
              <w:t>/</w:t>
            </w:r>
          </w:p>
        </w:tc>
        <w:tc>
          <w:tcPr>
            <w:tcW w:w="2192"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总余氯（以</w:t>
            </w:r>
            <w:r>
              <w:rPr>
                <w:rFonts w:asciiTheme="minorEastAsia" w:hAnsiTheme="minorEastAsia" w:eastAsiaTheme="minorEastAsia"/>
              </w:rPr>
              <w:t>Cl</w:t>
            </w:r>
            <w:r>
              <w:rPr>
                <w:rFonts w:hint="eastAsia" w:asciiTheme="minorEastAsia" w:hAnsiTheme="minorEastAsia" w:eastAsiaTheme="minorEastAsia"/>
              </w:rPr>
              <w:t>计）</w:t>
            </w:r>
          </w:p>
        </w:tc>
        <w:tc>
          <w:tcPr>
            <w:tcW w:w="1705" w:type="dxa"/>
            <w:vAlign w:val="center"/>
          </w:tcPr>
          <w:p>
            <w:pPr>
              <w:spacing w:line="240" w:lineRule="atLeast"/>
              <w:jc w:val="center"/>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次</w:t>
            </w:r>
            <w:r>
              <w:rPr>
                <w:rFonts w:asciiTheme="minorEastAsia" w:hAnsiTheme="minorEastAsia" w:eastAsiaTheme="minorEastAsia"/>
              </w:rPr>
              <w:t>/</w:t>
            </w:r>
            <w:r>
              <w:rPr>
                <w:rFonts w:hint="eastAsia" w:asciiTheme="minorEastAsia" w:hAnsiTheme="minorEastAsia" w:eastAsiaTheme="minorEastAsi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vAlign w:val="center"/>
          </w:tcPr>
          <w:p>
            <w:pPr>
              <w:spacing w:line="240" w:lineRule="atLeast"/>
              <w:jc w:val="center"/>
              <w:rPr>
                <w:rFonts w:asciiTheme="minorEastAsia" w:hAnsiTheme="minorEastAsia" w:eastAsiaTheme="minorEastAsia"/>
              </w:rPr>
            </w:pPr>
          </w:p>
        </w:tc>
        <w:tc>
          <w:tcPr>
            <w:tcW w:w="1134" w:type="dxa"/>
            <w:vMerge w:val="continue"/>
            <w:vAlign w:val="center"/>
          </w:tcPr>
          <w:p>
            <w:pPr>
              <w:spacing w:line="240" w:lineRule="atLeast"/>
              <w:jc w:val="center"/>
              <w:rPr>
                <w:rFonts w:asciiTheme="minorEastAsia" w:hAnsiTheme="minorEastAsia" w:eastAsiaTheme="minorEastAsia"/>
              </w:rPr>
            </w:pPr>
          </w:p>
        </w:tc>
        <w:tc>
          <w:tcPr>
            <w:tcW w:w="1417" w:type="dxa"/>
            <w:vMerge w:val="continue"/>
            <w:vAlign w:val="center"/>
          </w:tcPr>
          <w:p>
            <w:pPr>
              <w:spacing w:line="240" w:lineRule="atLeast"/>
              <w:jc w:val="center"/>
              <w:rPr>
                <w:rFonts w:asciiTheme="minorEastAsia" w:hAnsiTheme="minorEastAsia" w:eastAsiaTheme="minorEastAsia"/>
              </w:rPr>
            </w:pPr>
          </w:p>
        </w:tc>
        <w:tc>
          <w:tcPr>
            <w:tcW w:w="1276" w:type="dxa"/>
            <w:vAlign w:val="center"/>
          </w:tcPr>
          <w:p>
            <w:pPr>
              <w:spacing w:line="240" w:lineRule="atLeast"/>
              <w:ind w:firstLine="480"/>
              <w:jc w:val="center"/>
              <w:rPr>
                <w:rFonts w:asciiTheme="minorEastAsia" w:hAnsiTheme="minorEastAsia" w:eastAsiaTheme="minorEastAsia"/>
              </w:rPr>
            </w:pPr>
            <w:r>
              <w:rPr>
                <w:rFonts w:asciiTheme="minorEastAsia" w:hAnsiTheme="minorEastAsia" w:eastAsiaTheme="minorEastAsia"/>
              </w:rPr>
              <w:t>/</w:t>
            </w:r>
          </w:p>
        </w:tc>
        <w:tc>
          <w:tcPr>
            <w:tcW w:w="2192"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氨氮、色度、肠道致病菌、肠道病毒</w:t>
            </w:r>
          </w:p>
        </w:tc>
        <w:tc>
          <w:tcPr>
            <w:tcW w:w="1705" w:type="dxa"/>
            <w:vAlign w:val="center"/>
          </w:tcPr>
          <w:p>
            <w:pPr>
              <w:spacing w:line="240" w:lineRule="atLeast"/>
              <w:ind w:firstLine="480"/>
              <w:jc w:val="center"/>
              <w:rPr>
                <w:rFonts w:asciiTheme="minorEastAsia" w:hAnsiTheme="minorEastAsia" w:eastAsiaTheme="minorEastAsia"/>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备注：</w:t>
            </w:r>
          </w:p>
        </w:tc>
        <w:tc>
          <w:tcPr>
            <w:tcW w:w="7724" w:type="dxa"/>
            <w:gridSpan w:val="5"/>
            <w:vAlign w:val="center"/>
          </w:tcPr>
          <w:p>
            <w:pPr>
              <w:spacing w:line="240" w:lineRule="atLeast"/>
              <w:jc w:val="left"/>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、此表中频次指自行监测总体频次，具体到每次监测的次数按照相关监测技术规范执行。</w:t>
            </w:r>
          </w:p>
          <w:p>
            <w:pPr>
              <w:spacing w:line="240" w:lineRule="atLeast"/>
              <w:jc w:val="left"/>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、以上频次若与国家或地方发布的规范性文件、标准中监测指标的监测频次规定不一致时，按从严原则确定监测频次，即：以监测频次高的为准。</w:t>
            </w:r>
          </w:p>
        </w:tc>
      </w:tr>
    </w:tbl>
    <w:p>
      <w:pPr>
        <w:spacing w:line="4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2.2 </w:t>
      </w:r>
      <w:r>
        <w:rPr>
          <w:rFonts w:hint="eastAsia" w:asciiTheme="minorEastAsia" w:hAnsiTheme="minorEastAsia" w:eastAsiaTheme="minorEastAsia"/>
          <w:sz w:val="24"/>
          <w:szCs w:val="24"/>
        </w:rPr>
        <w:t>质量控制</w:t>
      </w:r>
    </w:p>
    <w:p>
      <w:pPr>
        <w:spacing w:line="4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2.2.1 </w:t>
      </w:r>
      <w:r>
        <w:rPr>
          <w:rFonts w:hint="eastAsia" w:asciiTheme="minorEastAsia" w:hAnsiTheme="minorEastAsia" w:eastAsiaTheme="minorEastAsia"/>
          <w:sz w:val="24"/>
          <w:szCs w:val="24"/>
        </w:rPr>
        <w:t>手工监测质量控制</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按照信息公开办法要求，我院采取官方网站通报的方式定期向公众公开自行监测信息。定期向公众公开自行监测信息。对自行监测结果及信息公开内容的真实性、准确性、完整性负责。</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）有自行监测工作开展所需的固定工作场所和必要的工作条件。</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）具有与监测本公司排放污染物相适应的采样、分析等专业设备、设施。</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）手工检测所需仪器仪表由取得计量认证的社会检测机构或者环境保护主管部门所属环境监测机构进行强制检定，并每年进行复检。</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）制定并实施健全的环境监测工作和质量管理制度。</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5</w:t>
      </w:r>
      <w:r>
        <w:rPr>
          <w:rFonts w:hint="eastAsia" w:asciiTheme="minorEastAsia" w:hAnsiTheme="minorEastAsia" w:eastAsiaTheme="minorEastAsia"/>
          <w:sz w:val="24"/>
          <w:szCs w:val="24"/>
        </w:rPr>
        <w:t>）符合环境保护主管部门规定的其他条件。</w:t>
      </w:r>
    </w:p>
    <w:p>
      <w:pPr>
        <w:spacing w:line="4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2.3 </w:t>
      </w:r>
      <w:r>
        <w:rPr>
          <w:rFonts w:hint="eastAsia" w:asciiTheme="minorEastAsia" w:hAnsiTheme="minorEastAsia" w:eastAsiaTheme="minorEastAsia"/>
          <w:sz w:val="24"/>
          <w:szCs w:val="24"/>
        </w:rPr>
        <w:t>监测方法、依据和仪器</w:t>
      </w:r>
    </w:p>
    <w:p>
      <w:pPr>
        <w:spacing w:line="4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2.3.1 </w:t>
      </w:r>
      <w:r>
        <w:rPr>
          <w:rFonts w:hint="eastAsia" w:asciiTheme="minorEastAsia" w:hAnsiTheme="minorEastAsia" w:eastAsiaTheme="minorEastAsia"/>
          <w:sz w:val="24"/>
          <w:szCs w:val="24"/>
        </w:rPr>
        <w:t>手工监测方法、依据和仪器</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手工监测方法、依据和仪器见表</w:t>
      </w:r>
      <w:r>
        <w:rPr>
          <w:rFonts w:asciiTheme="minorEastAsia" w:hAnsiTheme="minorEastAsia" w:eastAsiaTheme="minorEastAsia"/>
          <w:sz w:val="24"/>
          <w:szCs w:val="24"/>
        </w:rPr>
        <w:t>2-3-1</w:t>
      </w:r>
      <w:r>
        <w:rPr>
          <w:rFonts w:hint="eastAsia" w:asciiTheme="minorEastAsia" w:hAnsiTheme="minorEastAsia" w:eastAsiaTheme="minorEastAsia"/>
          <w:sz w:val="24"/>
          <w:szCs w:val="24"/>
        </w:rPr>
        <w:t>。</w:t>
      </w:r>
    </w:p>
    <w:p>
      <w:pPr>
        <w:spacing w:line="440" w:lineRule="exact"/>
        <w:ind w:firstLine="482"/>
        <w:jc w:val="center"/>
        <w:rPr>
          <w:rFonts w:asciiTheme="minorEastAsia" w:hAnsiTheme="minorEastAsia" w:eastAsiaTheme="minorEastAsia"/>
          <w:b/>
          <w:sz w:val="24"/>
          <w:szCs w:val="24"/>
        </w:rPr>
      </w:pPr>
      <w:r>
        <w:rPr>
          <w:rFonts w:hint="eastAsia" w:asciiTheme="minorEastAsia" w:hAnsiTheme="minorEastAsia" w:eastAsiaTheme="minorEastAsia"/>
          <w:b/>
          <w:color w:val="000000"/>
          <w:sz w:val="24"/>
          <w:szCs w:val="24"/>
        </w:rPr>
        <w:t>表</w:t>
      </w:r>
      <w:r>
        <w:rPr>
          <w:rFonts w:asciiTheme="minorEastAsia" w:hAnsiTheme="minorEastAsia" w:eastAsiaTheme="minorEastAsia"/>
          <w:b/>
          <w:color w:val="000000"/>
          <w:sz w:val="24"/>
          <w:szCs w:val="24"/>
        </w:rPr>
        <w:t>2-3-1</w:t>
      </w:r>
      <w:r>
        <w:rPr>
          <w:rFonts w:hint="eastAsia" w:asciiTheme="minorEastAsia" w:hAnsiTheme="minorEastAsia" w:eastAsiaTheme="minorEastAsia"/>
          <w:b/>
          <w:sz w:val="24"/>
          <w:szCs w:val="24"/>
        </w:rPr>
        <w:t>监测方法、依据和仪器表</w:t>
      </w:r>
    </w:p>
    <w:tbl>
      <w:tblPr>
        <w:tblStyle w:val="13"/>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1535"/>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类别</w:t>
            </w: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监测项目</w:t>
            </w:r>
          </w:p>
        </w:tc>
        <w:tc>
          <w:tcPr>
            <w:tcW w:w="5868"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监测方法及监测依据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restart"/>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废气无组织排放</w:t>
            </w: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甲烷</w:t>
            </w:r>
          </w:p>
        </w:tc>
        <w:tc>
          <w:tcPr>
            <w:tcW w:w="5868"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环境空气总烃、甲烷和非甲烷总烃的测定直接进样</w:t>
            </w:r>
            <w:r>
              <w:rPr>
                <w:rFonts w:asciiTheme="minorEastAsia" w:hAnsiTheme="minorEastAsia" w:eastAsiaTheme="minorEastAsia"/>
              </w:rPr>
              <w:t>-</w:t>
            </w:r>
            <w:r>
              <w:rPr>
                <w:rFonts w:hint="eastAsia" w:asciiTheme="minorEastAsia" w:hAnsiTheme="minorEastAsia" w:eastAsiaTheme="minorEastAsia"/>
              </w:rPr>
              <w:t>气相色谱法（</w:t>
            </w:r>
            <w:r>
              <w:rPr>
                <w:rFonts w:asciiTheme="minorEastAsia" w:hAnsiTheme="minorEastAsia" w:eastAsiaTheme="minorEastAsia"/>
              </w:rPr>
              <w:t>HJ 604-2017</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center"/>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臭气浓度</w:t>
            </w:r>
          </w:p>
        </w:tc>
        <w:tc>
          <w:tcPr>
            <w:tcW w:w="5868" w:type="dxa"/>
            <w:vAlign w:val="center"/>
          </w:tcPr>
          <w:p>
            <w:pPr>
              <w:pStyle w:val="22"/>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空气质量恶臭的测定三点比较式臭袋法</w:t>
            </w:r>
          </w:p>
          <w:p>
            <w:pPr>
              <w:pStyle w:val="22"/>
              <w:spacing w:line="240" w:lineRule="atLeast"/>
              <w:jc w:val="center"/>
              <w:rPr>
                <w:rFonts w:asciiTheme="minorEastAsia" w:hAnsiTheme="minorEastAsia" w:eastAsiaTheme="minorEastAsia"/>
                <w:szCs w:val="21"/>
              </w:rPr>
            </w:pPr>
            <w:r>
              <w:rPr>
                <w:rFonts w:asciiTheme="minorEastAsia" w:hAnsiTheme="minorEastAsia" w:eastAsiaTheme="minorEastAsia"/>
                <w:szCs w:val="21"/>
              </w:rPr>
              <w:t xml:space="preserve"> GB T 14675-1993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center"/>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氨（氨气）</w:t>
            </w:r>
          </w:p>
        </w:tc>
        <w:tc>
          <w:tcPr>
            <w:tcW w:w="5868"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空气和废气氨的测定纳氏试剂分光光度法</w:t>
            </w:r>
          </w:p>
          <w:p>
            <w:pPr>
              <w:spacing w:line="240" w:lineRule="atLeast"/>
              <w:jc w:val="center"/>
              <w:rPr>
                <w:rFonts w:asciiTheme="minorEastAsia" w:hAnsiTheme="minorEastAsia" w:eastAsiaTheme="minorEastAsia"/>
              </w:rPr>
            </w:pPr>
            <w:r>
              <w:rPr>
                <w:rFonts w:asciiTheme="minorEastAsia" w:hAnsiTheme="minorEastAsia" w:eastAsiaTheme="minorEastAsia"/>
              </w:rPr>
              <w:t>HJ 533-2009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center"/>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氯</w:t>
            </w:r>
          </w:p>
        </w:tc>
        <w:tc>
          <w:tcPr>
            <w:tcW w:w="5868"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《空气和废气监测分析方法》（第四版）（</w:t>
            </w:r>
            <w:r>
              <w:rPr>
                <w:rFonts w:asciiTheme="minorEastAsia" w:hAnsiTheme="minorEastAsia" w:eastAsiaTheme="minorEastAsia"/>
              </w:rPr>
              <w:t>3.1.12</w:t>
            </w:r>
            <w:r>
              <w:rPr>
                <w:rFonts w:hint="eastAsia" w:asciiTheme="minorEastAsia" w:hAnsiTheme="minorEastAsia" w:eastAsiaTheme="minorEastAsia"/>
              </w:rPr>
              <w:t>甲基橙分光光度法）国家环境保护总局（</w:t>
            </w:r>
            <w:r>
              <w:rPr>
                <w:rFonts w:asciiTheme="minorEastAsia" w:hAnsiTheme="minorEastAsia" w:eastAsiaTheme="minorEastAsia"/>
              </w:rPr>
              <w:t>2003</w:t>
            </w:r>
            <w:r>
              <w:rPr>
                <w:rFonts w:hint="eastAsia" w:asciiTheme="minorEastAsia" w:hAnsiTheme="minorEastAsia" w:eastAsiaTheme="minor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center"/>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硫化氢</w:t>
            </w:r>
          </w:p>
        </w:tc>
        <w:tc>
          <w:tcPr>
            <w:tcW w:w="5868"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《空气和废气监测分析方法》（第四版）国家环境保护总局（</w:t>
            </w:r>
            <w:r>
              <w:rPr>
                <w:rFonts w:asciiTheme="minorEastAsia" w:hAnsiTheme="minorEastAsia" w:eastAsiaTheme="minorEastAsia"/>
              </w:rPr>
              <w:t>2003</w:t>
            </w:r>
            <w:r>
              <w:rPr>
                <w:rFonts w:hint="eastAsia" w:asciiTheme="minorEastAsia" w:hAnsiTheme="minorEastAsia" w:eastAsiaTheme="minorEastAsia"/>
              </w:rPr>
              <w:t>年）（</w:t>
            </w:r>
            <w:r>
              <w:rPr>
                <w:rFonts w:asciiTheme="minorEastAsia" w:hAnsiTheme="minorEastAsia" w:eastAsiaTheme="minorEastAsia"/>
              </w:rPr>
              <w:t>3.1.11.2</w:t>
            </w:r>
            <w:r>
              <w:rPr>
                <w:rFonts w:hint="eastAsia" w:asciiTheme="minorEastAsia" w:hAnsiTheme="minorEastAsia" w:eastAsiaTheme="minorEastAsia"/>
              </w:rPr>
              <w:t>亚甲基蓝分光光度法（</w:t>
            </w:r>
            <w:r>
              <w:rPr>
                <w:rFonts w:asciiTheme="minorEastAsia" w:hAnsiTheme="minorEastAsia" w:eastAsiaTheme="minorEastAsia"/>
              </w:rPr>
              <w:t>B</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restart"/>
            <w:vAlign w:val="center"/>
          </w:tcPr>
          <w:p>
            <w:pPr>
              <w:spacing w:line="240" w:lineRule="atLeast"/>
              <w:ind w:firstLine="315" w:firstLineChars="150"/>
              <w:jc w:val="left"/>
              <w:rPr>
                <w:rFonts w:asciiTheme="minorEastAsia" w:hAnsiTheme="minorEastAsia" w:eastAsiaTheme="minorEastAsia"/>
              </w:rPr>
            </w:pPr>
            <w:r>
              <w:rPr>
                <w:rFonts w:hint="eastAsia" w:asciiTheme="minorEastAsia" w:hAnsiTheme="minorEastAsia" w:eastAsiaTheme="minorEastAsia"/>
              </w:rPr>
              <w:t>水和废水</w:t>
            </w:r>
          </w:p>
        </w:tc>
        <w:tc>
          <w:tcPr>
            <w:tcW w:w="1535" w:type="dxa"/>
            <w:vAlign w:val="center"/>
          </w:tcPr>
          <w:p>
            <w:pPr>
              <w:spacing w:line="240" w:lineRule="atLeast"/>
              <w:ind w:firstLine="480"/>
              <w:rPr>
                <w:rFonts w:asciiTheme="minorEastAsia" w:hAnsiTheme="minorEastAsia" w:eastAsiaTheme="minorEastAsia"/>
              </w:rPr>
            </w:pPr>
            <w:r>
              <w:rPr>
                <w:rFonts w:asciiTheme="minorEastAsia" w:hAnsiTheme="minorEastAsia" w:eastAsiaTheme="minorEastAsia"/>
              </w:rPr>
              <w:t>pH</w:t>
            </w:r>
          </w:p>
        </w:tc>
        <w:tc>
          <w:tcPr>
            <w:tcW w:w="5868" w:type="dxa"/>
            <w:vAlign w:val="center"/>
          </w:tcPr>
          <w:p>
            <w:pPr>
              <w:pStyle w:val="22"/>
              <w:spacing w:line="240" w:lineRule="atLeast"/>
              <w:jc w:val="left"/>
              <w:rPr>
                <w:rFonts w:asciiTheme="minorEastAsia" w:hAnsiTheme="minorEastAsia" w:eastAsiaTheme="minorEastAsia"/>
                <w:szCs w:val="21"/>
              </w:rPr>
            </w:pPr>
            <w:r>
              <w:rPr>
                <w:rFonts w:hint="eastAsia" w:asciiTheme="minorEastAsia" w:hAnsiTheme="minorEastAsia" w:eastAsiaTheme="minorEastAsia"/>
                <w:szCs w:val="21"/>
              </w:rPr>
              <w:t>水质</w:t>
            </w:r>
            <w:r>
              <w:rPr>
                <w:rFonts w:asciiTheme="minorEastAsia" w:hAnsiTheme="minorEastAsia" w:eastAsiaTheme="minorEastAsia"/>
                <w:szCs w:val="21"/>
              </w:rPr>
              <w:t xml:space="preserve"> pH</w:t>
            </w:r>
            <w:r>
              <w:rPr>
                <w:rFonts w:hint="eastAsia" w:asciiTheme="minorEastAsia" w:hAnsiTheme="minorEastAsia" w:eastAsiaTheme="minorEastAsia"/>
                <w:szCs w:val="21"/>
              </w:rPr>
              <w:t>值的测定玻璃电极法</w:t>
            </w:r>
            <w:r>
              <w:rPr>
                <w:rFonts w:asciiTheme="minorEastAsia" w:hAnsiTheme="minorEastAsia" w:eastAsiaTheme="minorEastAsia"/>
                <w:szCs w:val="21"/>
              </w:rPr>
              <w:t xml:space="preserve"> GB 6920-1986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left"/>
              <w:rPr>
                <w:rFonts w:asciiTheme="minorEastAsia" w:hAnsiTheme="minorEastAsia" w:eastAsiaTheme="minorEastAsia"/>
              </w:rPr>
            </w:pPr>
          </w:p>
        </w:tc>
        <w:tc>
          <w:tcPr>
            <w:tcW w:w="1535" w:type="dxa"/>
            <w:vAlign w:val="center"/>
          </w:tcPr>
          <w:p>
            <w:pPr>
              <w:spacing w:line="240" w:lineRule="atLeast"/>
              <w:ind w:firstLine="210" w:firstLineChars="100"/>
              <w:jc w:val="center"/>
              <w:rPr>
                <w:rFonts w:asciiTheme="minorEastAsia" w:hAnsiTheme="minorEastAsia" w:eastAsiaTheme="minorEastAsia"/>
              </w:rPr>
            </w:pPr>
            <w:r>
              <w:rPr>
                <w:rFonts w:hint="eastAsia" w:asciiTheme="minorEastAsia" w:hAnsiTheme="minorEastAsia" w:eastAsiaTheme="minorEastAsia"/>
              </w:rPr>
              <w:t>悬浮物</w:t>
            </w:r>
          </w:p>
        </w:tc>
        <w:tc>
          <w:tcPr>
            <w:tcW w:w="5868" w:type="dxa"/>
            <w:vAlign w:val="center"/>
          </w:tcPr>
          <w:p>
            <w:pPr>
              <w:spacing w:line="240" w:lineRule="atLeast"/>
              <w:jc w:val="left"/>
              <w:rPr>
                <w:rFonts w:asciiTheme="minorEastAsia" w:hAnsiTheme="minorEastAsia" w:eastAsiaTheme="minorEastAsia"/>
              </w:rPr>
            </w:pPr>
            <w:r>
              <w:rPr>
                <w:rFonts w:hint="eastAsia" w:asciiTheme="minorEastAsia" w:hAnsiTheme="minorEastAsia" w:eastAsiaTheme="minorEastAsia"/>
              </w:rPr>
              <w:t>水质悬浮物的测定重量法</w:t>
            </w:r>
            <w:r>
              <w:rPr>
                <w:rFonts w:asciiTheme="minorEastAsia" w:hAnsiTheme="minorEastAsia" w:eastAsiaTheme="minorEastAsia"/>
              </w:rPr>
              <w:t xml:space="preserve"> GB 11901-1989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left"/>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五日生化需氧量</w:t>
            </w:r>
          </w:p>
        </w:tc>
        <w:tc>
          <w:tcPr>
            <w:tcW w:w="5868" w:type="dxa"/>
            <w:vAlign w:val="center"/>
          </w:tcPr>
          <w:p>
            <w:pPr>
              <w:spacing w:line="240" w:lineRule="atLeast"/>
              <w:jc w:val="left"/>
              <w:rPr>
                <w:rFonts w:asciiTheme="minorEastAsia" w:hAnsiTheme="minorEastAsia" w:eastAsiaTheme="minorEastAsia"/>
              </w:rPr>
            </w:pPr>
            <w:r>
              <w:rPr>
                <w:rFonts w:hint="eastAsia" w:asciiTheme="minorEastAsia" w:hAnsiTheme="minorEastAsia" w:eastAsiaTheme="minorEastAsia"/>
              </w:rPr>
              <w:t>水质五日生化需氧量（</w:t>
            </w:r>
            <w:r>
              <w:rPr>
                <w:rFonts w:asciiTheme="minorEastAsia" w:hAnsiTheme="minorEastAsia" w:eastAsiaTheme="minorEastAsia"/>
              </w:rPr>
              <w:t>BOD5</w:t>
            </w:r>
            <w:r>
              <w:rPr>
                <w:rFonts w:hint="eastAsia" w:asciiTheme="minorEastAsia" w:hAnsiTheme="minorEastAsia" w:eastAsiaTheme="minorEastAsia"/>
              </w:rPr>
              <w:t>）的测定稀释与接种法</w:t>
            </w:r>
            <w:r>
              <w:rPr>
                <w:rFonts w:asciiTheme="minorEastAsia" w:hAnsiTheme="minorEastAsia" w:eastAsiaTheme="minorEastAsia"/>
              </w:rPr>
              <w:t xml:space="preserve"> HJ505-2009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left"/>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化学需氧量</w:t>
            </w:r>
          </w:p>
        </w:tc>
        <w:tc>
          <w:tcPr>
            <w:tcW w:w="5868" w:type="dxa"/>
            <w:vAlign w:val="center"/>
          </w:tcPr>
          <w:p>
            <w:pPr>
              <w:pStyle w:val="22"/>
              <w:adjustRightInd w:val="0"/>
              <w:snapToGrid w:val="0"/>
              <w:spacing w:line="240" w:lineRule="atLeast"/>
              <w:jc w:val="center"/>
              <w:rPr>
                <w:rFonts w:asciiTheme="minorEastAsia" w:hAnsiTheme="minorEastAsia" w:eastAsiaTheme="minorEastAsia"/>
                <w:szCs w:val="21"/>
              </w:rPr>
            </w:pPr>
            <w:r>
              <w:rPr>
                <w:rFonts w:hint="eastAsia" w:asciiTheme="minorEastAsia" w:hAnsiTheme="minorEastAsia" w:eastAsiaTheme="minorEastAsia"/>
                <w:szCs w:val="21"/>
              </w:rPr>
              <w:t>水质化学需氧量的测定重铬酸盐法</w:t>
            </w:r>
            <w:r>
              <w:rPr>
                <w:rFonts w:asciiTheme="minorEastAsia" w:hAnsiTheme="minorEastAsia" w:eastAsiaTheme="minorEastAsia"/>
                <w:szCs w:val="21"/>
              </w:rPr>
              <w:t xml:space="preserve"> HJ 828-2017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left"/>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粪大肠菌群</w:t>
            </w:r>
          </w:p>
        </w:tc>
        <w:tc>
          <w:tcPr>
            <w:tcW w:w="5868" w:type="dxa"/>
            <w:vAlign w:val="center"/>
          </w:tcPr>
          <w:p>
            <w:pPr>
              <w:spacing w:line="240" w:lineRule="atLeast"/>
              <w:jc w:val="left"/>
              <w:rPr>
                <w:rFonts w:asciiTheme="minorEastAsia" w:hAnsiTheme="minorEastAsia" w:eastAsiaTheme="minorEastAsia"/>
              </w:rPr>
            </w:pPr>
            <w:r>
              <w:rPr>
                <w:rFonts w:hint="eastAsia" w:asciiTheme="minorEastAsia" w:hAnsiTheme="minorEastAsia" w:eastAsiaTheme="minorEastAsia"/>
              </w:rPr>
              <w:t>医疗机构水污染物排放标准</w:t>
            </w:r>
            <w:r>
              <w:rPr>
                <w:rFonts w:asciiTheme="minorEastAsia" w:hAnsiTheme="minorEastAsia" w:eastAsiaTheme="minorEastAsia"/>
              </w:rPr>
              <w:t xml:space="preserve"> GB 18466-2005</w:t>
            </w:r>
            <w:r>
              <w:rPr>
                <w:rFonts w:hint="eastAsia" w:asciiTheme="minorEastAsia" w:hAnsiTheme="minorEastAsia" w:eastAsiaTheme="minorEastAsia"/>
              </w:rPr>
              <w:t>（附录</w:t>
            </w:r>
            <w:r>
              <w:rPr>
                <w:rFonts w:asciiTheme="minorEastAsia" w:hAnsiTheme="minorEastAsia" w:eastAsiaTheme="minorEastAsia"/>
              </w:rPr>
              <w:t xml:space="preserve">A </w:t>
            </w:r>
            <w:r>
              <w:rPr>
                <w:rFonts w:hint="eastAsia" w:asciiTheme="minorEastAsia" w:hAnsiTheme="minorEastAsia" w:eastAsiaTheme="minorEastAsia"/>
              </w:rPr>
              <w:t>医疗机构污水和污泥中粪大肠菌群的检验方法）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left"/>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阴离子表面活性剂</w:t>
            </w:r>
          </w:p>
        </w:tc>
        <w:tc>
          <w:tcPr>
            <w:tcW w:w="5868" w:type="dxa"/>
            <w:vAlign w:val="center"/>
          </w:tcPr>
          <w:p>
            <w:pPr>
              <w:pStyle w:val="22"/>
              <w:spacing w:line="240" w:lineRule="atLeast"/>
              <w:jc w:val="left"/>
              <w:rPr>
                <w:rFonts w:asciiTheme="minorEastAsia" w:hAnsiTheme="minorEastAsia" w:eastAsiaTheme="minorEastAsia"/>
                <w:szCs w:val="21"/>
              </w:rPr>
            </w:pPr>
            <w:r>
              <w:rPr>
                <w:rFonts w:hint="eastAsia" w:asciiTheme="minorEastAsia" w:hAnsiTheme="minorEastAsia" w:eastAsiaTheme="minorEastAsia"/>
                <w:szCs w:val="21"/>
              </w:rPr>
              <w:t>水质阴离子表面活性剂的测定亚甲蓝分光光度法</w:t>
            </w:r>
            <w:r>
              <w:rPr>
                <w:rFonts w:asciiTheme="minorEastAsia" w:hAnsiTheme="minorEastAsia" w:eastAsiaTheme="minorEastAsia"/>
                <w:szCs w:val="21"/>
              </w:rPr>
              <w:t xml:space="preserve"> GB 7494-1987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left"/>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石油类</w:t>
            </w:r>
          </w:p>
        </w:tc>
        <w:tc>
          <w:tcPr>
            <w:tcW w:w="5868" w:type="dxa"/>
            <w:vAlign w:val="center"/>
          </w:tcPr>
          <w:p>
            <w:pPr>
              <w:spacing w:line="240" w:lineRule="atLeast"/>
              <w:jc w:val="left"/>
              <w:rPr>
                <w:rFonts w:asciiTheme="minorEastAsia" w:hAnsiTheme="minorEastAsia" w:eastAsiaTheme="minorEastAsia"/>
              </w:rPr>
            </w:pPr>
            <w:r>
              <w:rPr>
                <w:rFonts w:hint="eastAsia" w:asciiTheme="minorEastAsia" w:hAnsiTheme="minorEastAsia" w:eastAsiaTheme="minorEastAsia"/>
              </w:rPr>
              <w:t>水质石油类和动植物油的测定红外光度法</w:t>
            </w:r>
            <w:r>
              <w:rPr>
                <w:rFonts w:asciiTheme="minorEastAsia" w:hAnsiTheme="minorEastAsia" w:eastAsiaTheme="minorEastAsia"/>
              </w:rPr>
              <w:t>HJ637-2018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left"/>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动植物油</w:t>
            </w:r>
          </w:p>
        </w:tc>
        <w:tc>
          <w:tcPr>
            <w:tcW w:w="5868" w:type="dxa"/>
            <w:vAlign w:val="center"/>
          </w:tcPr>
          <w:p>
            <w:pPr>
              <w:spacing w:line="240" w:lineRule="atLeast"/>
              <w:jc w:val="left"/>
              <w:rPr>
                <w:rFonts w:asciiTheme="minorEastAsia" w:hAnsiTheme="minorEastAsia" w:eastAsiaTheme="minorEastAsia"/>
              </w:rPr>
            </w:pPr>
            <w:r>
              <w:rPr>
                <w:rFonts w:hint="eastAsia" w:asciiTheme="minorEastAsia" w:hAnsiTheme="minorEastAsia" w:eastAsiaTheme="minorEastAsia"/>
              </w:rPr>
              <w:t>水质石油类和动植物油的测定红外光度法</w:t>
            </w:r>
            <w:r>
              <w:rPr>
                <w:rFonts w:asciiTheme="minorEastAsia" w:hAnsiTheme="minorEastAsia" w:eastAsiaTheme="minorEastAsia"/>
              </w:rPr>
              <w:t>HJ637-2018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left"/>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挥发酚</w:t>
            </w:r>
          </w:p>
        </w:tc>
        <w:tc>
          <w:tcPr>
            <w:tcW w:w="5868" w:type="dxa"/>
            <w:vAlign w:val="center"/>
          </w:tcPr>
          <w:p>
            <w:pPr>
              <w:spacing w:line="240" w:lineRule="atLeast"/>
              <w:jc w:val="left"/>
              <w:rPr>
                <w:rFonts w:asciiTheme="minorEastAsia" w:hAnsiTheme="minorEastAsia" w:eastAsiaTheme="minorEastAsia"/>
              </w:rPr>
            </w:pPr>
            <w:r>
              <w:rPr>
                <w:rFonts w:hint="eastAsia" w:asciiTheme="minorEastAsia" w:hAnsiTheme="minorEastAsia" w:eastAsiaTheme="minorEastAsia"/>
              </w:rPr>
              <w:t>水质挥发酚的测定</w:t>
            </w:r>
            <w:r>
              <w:rPr>
                <w:rFonts w:asciiTheme="minorEastAsia" w:hAnsiTheme="minorEastAsia" w:eastAsiaTheme="minorEastAsia"/>
              </w:rPr>
              <w:t xml:space="preserve"> 4-</w:t>
            </w:r>
            <w:r>
              <w:rPr>
                <w:rFonts w:hint="eastAsia" w:asciiTheme="minorEastAsia" w:hAnsiTheme="minorEastAsia" w:eastAsiaTheme="minorEastAsia"/>
              </w:rPr>
              <w:t>氨基安替比林分光光度法</w:t>
            </w:r>
            <w:r>
              <w:rPr>
                <w:rFonts w:asciiTheme="minorEastAsia" w:hAnsiTheme="minorEastAsia" w:eastAsiaTheme="minorEastAsia"/>
              </w:rPr>
              <w:t xml:space="preserve"> HJ 503-2009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left"/>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流量</w:t>
            </w:r>
          </w:p>
        </w:tc>
        <w:tc>
          <w:tcPr>
            <w:tcW w:w="5868" w:type="dxa"/>
            <w:vAlign w:val="center"/>
          </w:tcPr>
          <w:p>
            <w:pPr>
              <w:spacing w:line="240" w:lineRule="atLeast"/>
              <w:jc w:val="left"/>
              <w:rPr>
                <w:rFonts w:asciiTheme="minorEastAsia" w:hAnsiTheme="minorEastAsia" w:eastAsiaTheme="minorEastAsia"/>
              </w:rPr>
            </w:pPr>
            <w:r>
              <w:rPr>
                <w:rFonts w:hint="eastAsia" w:asciiTheme="minorEastAsia" w:hAnsiTheme="minorEastAsia" w:eastAsiaTheme="minorEastAsia"/>
              </w:rPr>
              <w:t>水污染物排放总量监测技术规范</w:t>
            </w:r>
            <w:r>
              <w:rPr>
                <w:rFonts w:asciiTheme="minorEastAsia" w:hAnsiTheme="minorEastAsia" w:eastAsiaTheme="minorEastAsia"/>
              </w:rPr>
              <w:t xml:space="preserve"> HJ/T 92-2002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left"/>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总氰化物</w:t>
            </w:r>
          </w:p>
        </w:tc>
        <w:tc>
          <w:tcPr>
            <w:tcW w:w="5868" w:type="dxa"/>
            <w:vAlign w:val="center"/>
          </w:tcPr>
          <w:p>
            <w:pPr>
              <w:spacing w:line="240" w:lineRule="atLeast"/>
              <w:jc w:val="left"/>
              <w:rPr>
                <w:rFonts w:asciiTheme="minorEastAsia" w:hAnsiTheme="minorEastAsia" w:eastAsiaTheme="minorEastAsia"/>
              </w:rPr>
            </w:pPr>
            <w:r>
              <w:rPr>
                <w:rFonts w:hint="eastAsia" w:asciiTheme="minorEastAsia" w:hAnsiTheme="minorEastAsia" w:eastAsiaTheme="minorEastAsia"/>
              </w:rPr>
              <w:t>水质氰化物的测定容量法和分光光度法（</w:t>
            </w:r>
            <w:r>
              <w:rPr>
                <w:rFonts w:asciiTheme="minorEastAsia" w:hAnsiTheme="minorEastAsia" w:eastAsiaTheme="minorEastAsia"/>
              </w:rPr>
              <w:t xml:space="preserve">HJ 484—2009 </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left"/>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总余氯（以</w:t>
            </w:r>
            <w:r>
              <w:rPr>
                <w:rFonts w:asciiTheme="minorEastAsia" w:hAnsiTheme="minorEastAsia" w:eastAsiaTheme="minorEastAsia"/>
              </w:rPr>
              <w:t>Cl</w:t>
            </w:r>
            <w:r>
              <w:rPr>
                <w:rFonts w:hint="eastAsia" w:asciiTheme="minorEastAsia" w:hAnsiTheme="minorEastAsia" w:eastAsiaTheme="minorEastAsia"/>
              </w:rPr>
              <w:t>计）</w:t>
            </w:r>
          </w:p>
        </w:tc>
        <w:tc>
          <w:tcPr>
            <w:tcW w:w="5868" w:type="dxa"/>
            <w:vAlign w:val="center"/>
          </w:tcPr>
          <w:p>
            <w:pPr>
              <w:spacing w:line="240" w:lineRule="atLeast"/>
              <w:ind w:firstLine="1155" w:firstLineChars="550"/>
              <w:jc w:val="left"/>
              <w:rPr>
                <w:rFonts w:asciiTheme="minorEastAsia" w:hAnsiTheme="minorEastAsia" w:eastAsiaTheme="minorEastAsia"/>
              </w:rPr>
            </w:pPr>
            <w:r>
              <w:rPr>
                <w:rFonts w:hint="eastAsia" w:asciiTheme="minorEastAsia" w:hAnsiTheme="minorEastAsia" w:eastAsiaTheme="minorEastAsia"/>
              </w:rPr>
              <w:t>试纸法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Merge w:val="continue"/>
            <w:vAlign w:val="center"/>
          </w:tcPr>
          <w:p>
            <w:pPr>
              <w:spacing w:line="240" w:lineRule="atLeast"/>
              <w:jc w:val="center"/>
              <w:rPr>
                <w:rFonts w:asciiTheme="minorEastAsia" w:hAnsiTheme="minorEastAsia" w:eastAsiaTheme="minorEastAsia"/>
              </w:rPr>
            </w:pPr>
          </w:p>
        </w:tc>
        <w:tc>
          <w:tcPr>
            <w:tcW w:w="1535"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氨氮、色度、肠道致病菌、肠道病毒</w:t>
            </w:r>
          </w:p>
        </w:tc>
        <w:tc>
          <w:tcPr>
            <w:tcW w:w="5868" w:type="dxa"/>
            <w:vAlign w:val="center"/>
          </w:tcPr>
          <w:p>
            <w:pPr>
              <w:spacing w:line="240" w:lineRule="atLeast"/>
              <w:jc w:val="center"/>
              <w:rPr>
                <w:rFonts w:asciiTheme="minorEastAsia" w:hAnsiTheme="minorEastAsia" w:eastAsiaTheme="minorEastAsia"/>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rPr>
              <w:t>备注</w:t>
            </w:r>
          </w:p>
        </w:tc>
        <w:tc>
          <w:tcPr>
            <w:tcW w:w="7403" w:type="dxa"/>
            <w:gridSpan w:val="2"/>
            <w:vAlign w:val="center"/>
          </w:tcPr>
          <w:p>
            <w:pPr>
              <w:spacing w:line="240" w:lineRule="atLeast"/>
              <w:ind w:firstLine="480"/>
              <w:jc w:val="center"/>
              <w:rPr>
                <w:rFonts w:asciiTheme="minorEastAsia" w:hAnsiTheme="minorEastAsia" w:eastAsiaTheme="minorEastAsia"/>
              </w:rPr>
            </w:pPr>
            <w:r>
              <w:rPr>
                <w:rFonts w:hint="eastAsia" w:asciiTheme="minorEastAsia" w:hAnsiTheme="minorEastAsia" w:eastAsiaTheme="minorEastAsia"/>
              </w:rPr>
              <w:t>监测仪器经计量部门检定并在有效使用期内。</w:t>
            </w:r>
          </w:p>
        </w:tc>
      </w:tr>
    </w:tbl>
    <w:p>
      <w:pPr>
        <w:spacing w:line="4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2.4 </w:t>
      </w:r>
      <w:r>
        <w:rPr>
          <w:rFonts w:hint="eastAsia" w:asciiTheme="minorEastAsia" w:hAnsiTheme="minorEastAsia" w:eastAsiaTheme="minorEastAsia"/>
          <w:sz w:val="24"/>
          <w:szCs w:val="24"/>
        </w:rPr>
        <w:t>评价标准、依据及其限值</w:t>
      </w:r>
    </w:p>
    <w:p>
      <w:pPr>
        <w:spacing w:line="4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2.4.1 </w:t>
      </w:r>
      <w:r>
        <w:rPr>
          <w:rFonts w:hint="eastAsia" w:asciiTheme="minorEastAsia" w:hAnsiTheme="minorEastAsia" w:eastAsiaTheme="minorEastAsia"/>
          <w:sz w:val="24"/>
          <w:szCs w:val="24"/>
        </w:rPr>
        <w:t>手工监测评价标准、依据及其限值</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手工监测评价标准、依据及其限值见表</w:t>
      </w:r>
      <w:r>
        <w:rPr>
          <w:rFonts w:asciiTheme="minorEastAsia" w:hAnsiTheme="minorEastAsia" w:eastAsiaTheme="minorEastAsia"/>
          <w:sz w:val="24"/>
          <w:szCs w:val="24"/>
        </w:rPr>
        <w:t>2-4-1</w:t>
      </w:r>
      <w:r>
        <w:rPr>
          <w:rFonts w:hint="eastAsia" w:asciiTheme="minorEastAsia" w:hAnsiTheme="minorEastAsia" w:eastAsiaTheme="minorEastAsia"/>
          <w:sz w:val="24"/>
          <w:szCs w:val="24"/>
        </w:rPr>
        <w:t>至</w:t>
      </w:r>
      <w:r>
        <w:rPr>
          <w:rFonts w:asciiTheme="minorEastAsia" w:hAnsiTheme="minorEastAsia" w:eastAsiaTheme="minorEastAsia"/>
          <w:sz w:val="24"/>
          <w:szCs w:val="24"/>
        </w:rPr>
        <w:t>2-4-2</w:t>
      </w:r>
      <w:r>
        <w:rPr>
          <w:rFonts w:hint="eastAsia" w:asciiTheme="minorEastAsia" w:hAnsiTheme="minorEastAsia" w:eastAsiaTheme="minorEastAsia"/>
          <w:sz w:val="24"/>
          <w:szCs w:val="24"/>
        </w:rPr>
        <w:t>。</w:t>
      </w:r>
    </w:p>
    <w:p>
      <w:pPr>
        <w:spacing w:line="440" w:lineRule="exact"/>
        <w:ind w:firstLine="482"/>
        <w:jc w:val="center"/>
        <w:rPr>
          <w:rFonts w:asciiTheme="minorEastAsia" w:hAnsiTheme="minorEastAsia" w:eastAsiaTheme="minorEastAsia"/>
          <w:b/>
          <w:sz w:val="24"/>
          <w:szCs w:val="24"/>
        </w:rPr>
      </w:pPr>
      <w:r>
        <w:rPr>
          <w:rFonts w:hint="eastAsia" w:asciiTheme="minorEastAsia" w:hAnsiTheme="minorEastAsia" w:eastAsiaTheme="minorEastAsia"/>
          <w:b/>
          <w:color w:val="000000"/>
          <w:sz w:val="24"/>
          <w:szCs w:val="24"/>
        </w:rPr>
        <w:t>表</w:t>
      </w:r>
      <w:r>
        <w:rPr>
          <w:rFonts w:asciiTheme="minorEastAsia" w:hAnsiTheme="minorEastAsia" w:eastAsiaTheme="minorEastAsia"/>
          <w:b/>
          <w:color w:val="000000"/>
          <w:sz w:val="24"/>
          <w:szCs w:val="24"/>
        </w:rPr>
        <w:t>2-4-1</w:t>
      </w:r>
      <w:r>
        <w:rPr>
          <w:rFonts w:hint="eastAsia" w:asciiTheme="minorEastAsia" w:hAnsiTheme="minorEastAsia" w:eastAsiaTheme="minorEastAsia"/>
          <w:b/>
          <w:color w:val="000000"/>
          <w:sz w:val="24"/>
          <w:szCs w:val="24"/>
        </w:rPr>
        <w:t>废气无组织排放标准</w:t>
      </w:r>
      <w:r>
        <w:rPr>
          <w:rFonts w:hint="eastAsia" w:asciiTheme="minorEastAsia" w:hAnsiTheme="minorEastAsia" w:eastAsiaTheme="minorEastAsia"/>
          <w:b/>
          <w:sz w:val="24"/>
          <w:szCs w:val="24"/>
        </w:rPr>
        <w:t>、依据及其限值</w:t>
      </w:r>
    </w:p>
    <w:tbl>
      <w:tblPr>
        <w:tblStyle w:val="13"/>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420"/>
        <w:gridCol w:w="1100"/>
        <w:gridCol w:w="2131"/>
        <w:gridCol w:w="1469"/>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污染源</w:t>
            </w:r>
          </w:p>
        </w:tc>
        <w:tc>
          <w:tcPr>
            <w:tcW w:w="1420" w:type="dxa"/>
            <w:vMerge w:val="restart"/>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污染物</w:t>
            </w:r>
          </w:p>
        </w:tc>
        <w:tc>
          <w:tcPr>
            <w:tcW w:w="1100" w:type="dxa"/>
            <w:vMerge w:val="restart"/>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w:t>
            </w:r>
          </w:p>
        </w:tc>
        <w:tc>
          <w:tcPr>
            <w:tcW w:w="3600" w:type="dxa"/>
            <w:gridSpan w:val="2"/>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执行</w:t>
            </w:r>
            <w:r>
              <w:rPr>
                <w:rFonts w:asciiTheme="minorEastAsia" w:hAnsiTheme="minorEastAsia" w:eastAsiaTheme="minorEastAsia"/>
                <w:sz w:val="24"/>
                <w:szCs w:val="24"/>
              </w:rPr>
              <w:t>/</w:t>
            </w:r>
            <w:r>
              <w:rPr>
                <w:rFonts w:hint="eastAsia" w:asciiTheme="minorEastAsia" w:hAnsiTheme="minorEastAsia" w:eastAsiaTheme="minorEastAsia"/>
                <w:sz w:val="24"/>
                <w:szCs w:val="24"/>
              </w:rPr>
              <w:t>参照标准限值</w:t>
            </w:r>
          </w:p>
        </w:tc>
        <w:tc>
          <w:tcPr>
            <w:tcW w:w="2340" w:type="dxa"/>
            <w:vMerge w:val="restart"/>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标准依据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Merge w:val="continue"/>
            <w:vAlign w:val="center"/>
          </w:tcPr>
          <w:p>
            <w:pPr>
              <w:spacing w:line="240" w:lineRule="atLeast"/>
              <w:jc w:val="center"/>
              <w:rPr>
                <w:rFonts w:asciiTheme="minorEastAsia" w:hAnsiTheme="minorEastAsia" w:eastAsiaTheme="minorEastAsia"/>
                <w:sz w:val="24"/>
                <w:szCs w:val="24"/>
              </w:rPr>
            </w:pPr>
          </w:p>
        </w:tc>
        <w:tc>
          <w:tcPr>
            <w:tcW w:w="1100" w:type="dxa"/>
            <w:vMerge w:val="continue"/>
            <w:vAlign w:val="center"/>
          </w:tcPr>
          <w:p>
            <w:pPr>
              <w:spacing w:line="240" w:lineRule="atLeast"/>
              <w:jc w:val="center"/>
              <w:rPr>
                <w:rFonts w:asciiTheme="minorEastAsia" w:hAnsiTheme="minorEastAsia" w:eastAsiaTheme="minorEastAsia"/>
                <w:sz w:val="24"/>
                <w:szCs w:val="24"/>
              </w:rPr>
            </w:pPr>
          </w:p>
        </w:tc>
        <w:tc>
          <w:tcPr>
            <w:tcW w:w="2131" w:type="dxa"/>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监控点</w:t>
            </w:r>
          </w:p>
        </w:tc>
        <w:tc>
          <w:tcPr>
            <w:tcW w:w="1469" w:type="dxa"/>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限值</w:t>
            </w:r>
          </w:p>
        </w:tc>
        <w:tc>
          <w:tcPr>
            <w:tcW w:w="2340"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废气无组织</w:t>
            </w:r>
          </w:p>
        </w:tc>
        <w:tc>
          <w:tcPr>
            <w:tcW w:w="1420" w:type="dxa"/>
            <w:vAlign w:val="center"/>
          </w:tcPr>
          <w:p>
            <w:pPr>
              <w:spacing w:line="2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氨（氨气）</w:t>
            </w:r>
          </w:p>
        </w:tc>
        <w:tc>
          <w:tcPr>
            <w:tcW w:w="1100" w:type="dxa"/>
            <w:vAlign w:val="center"/>
          </w:tcPr>
          <w:p>
            <w:pPr>
              <w:spacing w:line="240" w:lineRule="atLeast"/>
              <w:rPr>
                <w:rFonts w:asciiTheme="minorEastAsia" w:hAnsiTheme="minorEastAsia" w:eastAsiaTheme="minorEastAsia"/>
                <w:sz w:val="24"/>
                <w:szCs w:val="24"/>
              </w:rPr>
            </w:pPr>
            <w:r>
              <w:rPr>
                <w:rFonts w:asciiTheme="minorEastAsia" w:hAnsiTheme="minorEastAsia" w:eastAsiaTheme="minorEastAsia"/>
                <w:sz w:val="24"/>
                <w:szCs w:val="24"/>
              </w:rPr>
              <w:t>mg/m</w:t>
            </w:r>
            <w:r>
              <w:rPr>
                <w:rFonts w:asciiTheme="minorEastAsia" w:hAnsiTheme="minorEastAsia" w:eastAsiaTheme="minorEastAsia"/>
                <w:sz w:val="24"/>
                <w:szCs w:val="24"/>
                <w:vertAlign w:val="superscript"/>
              </w:rPr>
              <w:t>3</w:t>
            </w:r>
          </w:p>
        </w:tc>
        <w:tc>
          <w:tcPr>
            <w:tcW w:w="2131" w:type="dxa"/>
            <w:vMerge w:val="restart"/>
            <w:vAlign w:val="center"/>
          </w:tcPr>
          <w:p>
            <w:pPr>
              <w:spacing w:line="240" w:lineRule="atLeast"/>
              <w:ind w:firstLine="120" w:firstLineChars="50"/>
              <w:rPr>
                <w:rFonts w:asciiTheme="minorEastAsia" w:hAnsiTheme="minorEastAsia" w:eastAsiaTheme="minorEastAsia"/>
                <w:sz w:val="24"/>
                <w:szCs w:val="24"/>
              </w:rPr>
            </w:pPr>
            <w:r>
              <w:rPr>
                <w:rFonts w:hint="eastAsia" w:asciiTheme="minorEastAsia" w:hAnsiTheme="minorEastAsia" w:eastAsiaTheme="minorEastAsia"/>
                <w:sz w:val="24"/>
                <w:szCs w:val="24"/>
              </w:rPr>
              <w:t>污水处理站周界</w:t>
            </w:r>
          </w:p>
        </w:tc>
        <w:tc>
          <w:tcPr>
            <w:tcW w:w="1469" w:type="dxa"/>
            <w:vAlign w:val="center"/>
          </w:tcPr>
          <w:p>
            <w:pPr>
              <w:spacing w:line="240" w:lineRule="atLeast"/>
              <w:jc w:val="center"/>
              <w:rPr>
                <w:rFonts w:asciiTheme="minorEastAsia" w:hAnsiTheme="minorEastAsia" w:eastAsiaTheme="minorEastAsia"/>
                <w:sz w:val="24"/>
                <w:szCs w:val="24"/>
              </w:rPr>
            </w:pPr>
            <w:r>
              <w:rPr>
                <w:rFonts w:asciiTheme="minorEastAsia" w:hAnsiTheme="minorEastAsia" w:eastAsiaTheme="minorEastAsia"/>
                <w:sz w:val="24"/>
                <w:szCs w:val="24"/>
              </w:rPr>
              <w:t>1.0</w:t>
            </w:r>
          </w:p>
        </w:tc>
        <w:tc>
          <w:tcPr>
            <w:tcW w:w="2340" w:type="dxa"/>
            <w:vMerge w:val="restart"/>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医疗机构水污染物排放标准（</w:t>
            </w:r>
            <w:r>
              <w:rPr>
                <w:rFonts w:asciiTheme="minorEastAsia" w:hAnsiTheme="minorEastAsia" w:eastAsiaTheme="minorEastAsia"/>
                <w:sz w:val="24"/>
                <w:szCs w:val="24"/>
              </w:rPr>
              <w:t>GB 18466-2005</w:t>
            </w:r>
            <w:r>
              <w:rPr>
                <w:rFonts w:hint="eastAsia" w:asciiTheme="minorEastAsia" w:hAnsiTheme="minorEastAsia" w:eastAsiaTheme="minorEastAsia"/>
                <w:sz w:val="24"/>
                <w:szCs w:val="24"/>
              </w:rPr>
              <w:t>）中表</w:t>
            </w:r>
            <w:r>
              <w:rPr>
                <w:rFonts w:asciiTheme="minorEastAsia" w:hAnsiTheme="minorEastAsia" w:eastAsiaTheme="minorEastAsia"/>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硫化氢</w:t>
            </w:r>
          </w:p>
        </w:tc>
        <w:tc>
          <w:tcPr>
            <w:tcW w:w="1100" w:type="dxa"/>
            <w:vAlign w:val="center"/>
          </w:tcPr>
          <w:p>
            <w:pPr>
              <w:spacing w:line="240" w:lineRule="atLeast"/>
              <w:rPr>
                <w:rFonts w:asciiTheme="minorEastAsia" w:hAnsiTheme="minorEastAsia" w:eastAsiaTheme="minorEastAsia"/>
                <w:sz w:val="24"/>
                <w:szCs w:val="24"/>
              </w:rPr>
            </w:pPr>
            <w:r>
              <w:rPr>
                <w:rFonts w:asciiTheme="minorEastAsia" w:hAnsiTheme="minorEastAsia" w:eastAsiaTheme="minorEastAsia"/>
                <w:sz w:val="24"/>
                <w:szCs w:val="24"/>
              </w:rPr>
              <w:t>mg/m</w:t>
            </w:r>
            <w:r>
              <w:rPr>
                <w:rFonts w:asciiTheme="minorEastAsia" w:hAnsiTheme="minorEastAsia" w:eastAsiaTheme="minorEastAsia"/>
                <w:sz w:val="24"/>
                <w:szCs w:val="24"/>
                <w:vertAlign w:val="superscript"/>
              </w:rPr>
              <w:t>3</w:t>
            </w:r>
          </w:p>
        </w:tc>
        <w:tc>
          <w:tcPr>
            <w:tcW w:w="2131" w:type="dxa"/>
            <w:vMerge w:val="continue"/>
            <w:vAlign w:val="center"/>
          </w:tcPr>
          <w:p>
            <w:pPr>
              <w:spacing w:line="240" w:lineRule="atLeast"/>
              <w:ind w:firstLine="480"/>
              <w:rPr>
                <w:rFonts w:asciiTheme="minorEastAsia" w:hAnsiTheme="minorEastAsia" w:eastAsiaTheme="minorEastAsia"/>
                <w:sz w:val="24"/>
                <w:szCs w:val="24"/>
              </w:rPr>
            </w:pPr>
          </w:p>
        </w:tc>
        <w:tc>
          <w:tcPr>
            <w:tcW w:w="1469" w:type="dxa"/>
            <w:vAlign w:val="center"/>
          </w:tcPr>
          <w:p>
            <w:pPr>
              <w:spacing w:line="240" w:lineRule="atLeast"/>
              <w:jc w:val="center"/>
              <w:rPr>
                <w:rFonts w:asciiTheme="minorEastAsia" w:hAnsiTheme="minorEastAsia" w:eastAsiaTheme="minorEastAsia"/>
                <w:sz w:val="24"/>
                <w:szCs w:val="24"/>
              </w:rPr>
            </w:pPr>
            <w:r>
              <w:rPr>
                <w:rFonts w:asciiTheme="minorEastAsia" w:hAnsiTheme="minorEastAsia" w:eastAsiaTheme="minorEastAsia"/>
                <w:sz w:val="24"/>
                <w:szCs w:val="24"/>
              </w:rPr>
              <w:t>0.03</w:t>
            </w:r>
          </w:p>
        </w:tc>
        <w:tc>
          <w:tcPr>
            <w:tcW w:w="2340"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臭气浓度</w:t>
            </w:r>
          </w:p>
        </w:tc>
        <w:tc>
          <w:tcPr>
            <w:tcW w:w="1100" w:type="dxa"/>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无量纲</w:t>
            </w:r>
          </w:p>
        </w:tc>
        <w:tc>
          <w:tcPr>
            <w:tcW w:w="2131" w:type="dxa"/>
            <w:vMerge w:val="continue"/>
            <w:vAlign w:val="center"/>
          </w:tcPr>
          <w:p>
            <w:pPr>
              <w:spacing w:line="240" w:lineRule="atLeast"/>
              <w:ind w:firstLine="480"/>
              <w:rPr>
                <w:rFonts w:asciiTheme="minorEastAsia" w:hAnsiTheme="minorEastAsia" w:eastAsiaTheme="minorEastAsia"/>
                <w:sz w:val="24"/>
                <w:szCs w:val="24"/>
              </w:rPr>
            </w:pPr>
          </w:p>
        </w:tc>
        <w:tc>
          <w:tcPr>
            <w:tcW w:w="1469" w:type="dxa"/>
            <w:vAlign w:val="center"/>
          </w:tcPr>
          <w:p>
            <w:pPr>
              <w:spacing w:line="240" w:lineRule="atLeast"/>
              <w:jc w:val="center"/>
              <w:rPr>
                <w:rFonts w:asciiTheme="minorEastAsia" w:hAnsiTheme="minorEastAsia" w:eastAsiaTheme="minorEastAsia"/>
                <w:sz w:val="24"/>
                <w:szCs w:val="24"/>
              </w:rPr>
            </w:pPr>
            <w:r>
              <w:rPr>
                <w:rFonts w:asciiTheme="minorEastAsia" w:hAnsiTheme="minorEastAsia" w:eastAsiaTheme="minorEastAsia"/>
                <w:sz w:val="24"/>
                <w:szCs w:val="24"/>
              </w:rPr>
              <w:t>10</w:t>
            </w:r>
          </w:p>
        </w:tc>
        <w:tc>
          <w:tcPr>
            <w:tcW w:w="2340"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氯（氯气）</w:t>
            </w:r>
          </w:p>
        </w:tc>
        <w:tc>
          <w:tcPr>
            <w:tcW w:w="1100" w:type="dxa"/>
            <w:vAlign w:val="center"/>
          </w:tcPr>
          <w:p>
            <w:pPr>
              <w:spacing w:line="240" w:lineRule="atLeast"/>
              <w:rPr>
                <w:rFonts w:asciiTheme="minorEastAsia" w:hAnsiTheme="minorEastAsia" w:eastAsiaTheme="minorEastAsia"/>
                <w:sz w:val="24"/>
                <w:szCs w:val="24"/>
              </w:rPr>
            </w:pPr>
            <w:r>
              <w:rPr>
                <w:rFonts w:asciiTheme="minorEastAsia" w:hAnsiTheme="minorEastAsia" w:eastAsiaTheme="minorEastAsia"/>
                <w:sz w:val="24"/>
                <w:szCs w:val="24"/>
              </w:rPr>
              <w:t>mg/m</w:t>
            </w:r>
            <w:r>
              <w:rPr>
                <w:rFonts w:asciiTheme="minorEastAsia" w:hAnsiTheme="minorEastAsia" w:eastAsiaTheme="minorEastAsia"/>
                <w:sz w:val="24"/>
                <w:szCs w:val="24"/>
                <w:vertAlign w:val="superscript"/>
              </w:rPr>
              <w:t>3</w:t>
            </w:r>
          </w:p>
        </w:tc>
        <w:tc>
          <w:tcPr>
            <w:tcW w:w="2131" w:type="dxa"/>
            <w:vMerge w:val="continue"/>
            <w:vAlign w:val="center"/>
          </w:tcPr>
          <w:p>
            <w:pPr>
              <w:spacing w:line="240" w:lineRule="atLeast"/>
              <w:ind w:firstLine="480"/>
              <w:rPr>
                <w:rFonts w:asciiTheme="minorEastAsia" w:hAnsiTheme="minorEastAsia" w:eastAsiaTheme="minorEastAsia"/>
                <w:sz w:val="24"/>
                <w:szCs w:val="24"/>
              </w:rPr>
            </w:pPr>
          </w:p>
        </w:tc>
        <w:tc>
          <w:tcPr>
            <w:tcW w:w="1469" w:type="dxa"/>
            <w:vAlign w:val="center"/>
          </w:tcPr>
          <w:p>
            <w:pPr>
              <w:spacing w:line="240" w:lineRule="atLeast"/>
              <w:jc w:val="center"/>
              <w:rPr>
                <w:rFonts w:asciiTheme="minorEastAsia" w:hAnsiTheme="minorEastAsia" w:eastAsiaTheme="minorEastAsia"/>
                <w:sz w:val="24"/>
                <w:szCs w:val="24"/>
              </w:rPr>
            </w:pPr>
            <w:r>
              <w:rPr>
                <w:rFonts w:asciiTheme="minorEastAsia" w:hAnsiTheme="minorEastAsia" w:eastAsiaTheme="minorEastAsia"/>
                <w:sz w:val="24"/>
                <w:szCs w:val="24"/>
              </w:rPr>
              <w:t>0.1</w:t>
            </w:r>
          </w:p>
        </w:tc>
        <w:tc>
          <w:tcPr>
            <w:tcW w:w="2340"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甲烷</w:t>
            </w:r>
          </w:p>
        </w:tc>
        <w:tc>
          <w:tcPr>
            <w:tcW w:w="1100" w:type="dxa"/>
            <w:vAlign w:val="center"/>
          </w:tcPr>
          <w:p>
            <w:pPr>
              <w:spacing w:line="240" w:lineRule="atLeast"/>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131" w:type="dxa"/>
            <w:vMerge w:val="continue"/>
            <w:vAlign w:val="center"/>
          </w:tcPr>
          <w:p>
            <w:pPr>
              <w:spacing w:line="240" w:lineRule="atLeast"/>
              <w:rPr>
                <w:rFonts w:asciiTheme="minorEastAsia" w:hAnsiTheme="minorEastAsia" w:eastAsiaTheme="minorEastAsia"/>
                <w:sz w:val="24"/>
                <w:szCs w:val="24"/>
              </w:rPr>
            </w:pPr>
          </w:p>
        </w:tc>
        <w:tc>
          <w:tcPr>
            <w:tcW w:w="1469" w:type="dxa"/>
            <w:vAlign w:val="center"/>
          </w:tcPr>
          <w:p>
            <w:pPr>
              <w:spacing w:line="240" w:lineRule="atLeast"/>
              <w:jc w:val="center"/>
              <w:rPr>
                <w:rFonts w:asciiTheme="minorEastAsia" w:hAnsiTheme="minorEastAsia" w:eastAsiaTheme="minorEastAsia"/>
                <w:sz w:val="24"/>
                <w:szCs w:val="24"/>
              </w:rPr>
            </w:pPr>
            <w:r>
              <w:rPr>
                <w:rFonts w:asciiTheme="minorEastAsia" w:hAnsiTheme="minorEastAsia" w:eastAsiaTheme="minorEastAsia"/>
                <w:sz w:val="24"/>
                <w:szCs w:val="24"/>
              </w:rPr>
              <w:t>1.0</w:t>
            </w:r>
          </w:p>
        </w:tc>
        <w:tc>
          <w:tcPr>
            <w:tcW w:w="2340" w:type="dxa"/>
            <w:vMerge w:val="continue"/>
            <w:vAlign w:val="center"/>
          </w:tcPr>
          <w:p>
            <w:pPr>
              <w:spacing w:line="240" w:lineRule="atLeast"/>
              <w:jc w:val="center"/>
              <w:rPr>
                <w:rFonts w:asciiTheme="minorEastAsia" w:hAnsiTheme="minorEastAsia" w:eastAsiaTheme="minorEastAsia"/>
                <w:sz w:val="24"/>
                <w:szCs w:val="24"/>
              </w:rPr>
            </w:pPr>
          </w:p>
        </w:tc>
      </w:tr>
    </w:tbl>
    <w:p>
      <w:pPr>
        <w:spacing w:line="440" w:lineRule="exact"/>
        <w:ind w:firstLine="482"/>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表</w:t>
      </w:r>
      <w:r>
        <w:rPr>
          <w:rFonts w:asciiTheme="minorEastAsia" w:hAnsiTheme="minorEastAsia" w:eastAsiaTheme="minorEastAsia"/>
          <w:b/>
          <w:color w:val="000000"/>
          <w:sz w:val="24"/>
          <w:szCs w:val="24"/>
        </w:rPr>
        <w:t>2-4-2</w:t>
      </w:r>
      <w:r>
        <w:rPr>
          <w:rFonts w:hint="eastAsia" w:asciiTheme="minorEastAsia" w:hAnsiTheme="minorEastAsia" w:eastAsiaTheme="minorEastAsia"/>
          <w:b/>
          <w:color w:val="000000"/>
          <w:sz w:val="24"/>
          <w:szCs w:val="24"/>
        </w:rPr>
        <w:t>废水污染物排放标准</w:t>
      </w:r>
      <w:r>
        <w:rPr>
          <w:rFonts w:hint="eastAsia" w:asciiTheme="minorEastAsia" w:hAnsiTheme="minorEastAsia" w:eastAsiaTheme="minorEastAsia"/>
          <w:b/>
          <w:sz w:val="24"/>
          <w:szCs w:val="24"/>
        </w:rPr>
        <w:t>、依据及其限值</w:t>
      </w:r>
    </w:p>
    <w:tbl>
      <w:tblPr>
        <w:tblStyle w:val="13"/>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420"/>
        <w:gridCol w:w="1800"/>
        <w:gridCol w:w="1998"/>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污染源</w:t>
            </w:r>
          </w:p>
        </w:tc>
        <w:tc>
          <w:tcPr>
            <w:tcW w:w="1420" w:type="dxa"/>
            <w:vMerge w:val="restart"/>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污染物</w:t>
            </w:r>
          </w:p>
        </w:tc>
        <w:tc>
          <w:tcPr>
            <w:tcW w:w="3798" w:type="dxa"/>
            <w:gridSpan w:val="2"/>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执行</w:t>
            </w:r>
            <w:r>
              <w:rPr>
                <w:rFonts w:asciiTheme="minorEastAsia" w:hAnsiTheme="minorEastAsia" w:eastAsiaTheme="minorEastAsia"/>
                <w:sz w:val="24"/>
                <w:szCs w:val="24"/>
              </w:rPr>
              <w:t>/</w:t>
            </w:r>
            <w:r>
              <w:rPr>
                <w:rFonts w:hint="eastAsia" w:asciiTheme="minorEastAsia" w:hAnsiTheme="minorEastAsia" w:eastAsiaTheme="minorEastAsia"/>
                <w:sz w:val="24"/>
                <w:szCs w:val="24"/>
              </w:rPr>
              <w:t>参照标准限值</w:t>
            </w:r>
          </w:p>
        </w:tc>
        <w:tc>
          <w:tcPr>
            <w:tcW w:w="3242" w:type="dxa"/>
            <w:vMerge w:val="restart"/>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标准依据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Merge w:val="continue"/>
            <w:vAlign w:val="center"/>
          </w:tcPr>
          <w:p>
            <w:pPr>
              <w:spacing w:line="240" w:lineRule="atLeast"/>
              <w:jc w:val="center"/>
              <w:rPr>
                <w:rFonts w:asciiTheme="minorEastAsia" w:hAnsiTheme="minorEastAsia" w:eastAsiaTheme="minorEastAsia"/>
                <w:sz w:val="24"/>
                <w:szCs w:val="24"/>
              </w:rPr>
            </w:pPr>
          </w:p>
        </w:tc>
        <w:tc>
          <w:tcPr>
            <w:tcW w:w="1800" w:type="dxa"/>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w:t>
            </w:r>
          </w:p>
        </w:tc>
        <w:tc>
          <w:tcPr>
            <w:tcW w:w="1998" w:type="dxa"/>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限值</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废水</w:t>
            </w:r>
          </w:p>
        </w:tc>
        <w:tc>
          <w:tcPr>
            <w:tcW w:w="1420" w:type="dxa"/>
            <w:vAlign w:val="center"/>
          </w:tcPr>
          <w:p>
            <w:pPr>
              <w:spacing w:line="2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化学需氧量</w:t>
            </w:r>
          </w:p>
        </w:tc>
        <w:tc>
          <w:tcPr>
            <w:tcW w:w="1800" w:type="dxa"/>
            <w:vAlign w:val="center"/>
          </w:tcPr>
          <w:p>
            <w:pPr>
              <w:spacing w:line="240" w:lineRule="atLeast"/>
              <w:ind w:firstLine="480"/>
              <w:rPr>
                <w:rFonts w:asciiTheme="minorEastAsia" w:hAnsiTheme="minorEastAsia" w:eastAsiaTheme="minorEastAsia"/>
                <w:sz w:val="24"/>
                <w:szCs w:val="24"/>
              </w:rPr>
            </w:pPr>
            <w:r>
              <w:rPr>
                <w:rFonts w:asciiTheme="minorEastAsia" w:hAnsiTheme="minorEastAsia" w:eastAsiaTheme="minorEastAsia"/>
                <w:sz w:val="24"/>
                <w:szCs w:val="24"/>
              </w:rPr>
              <w:t>mg/L</w:t>
            </w:r>
          </w:p>
        </w:tc>
        <w:tc>
          <w:tcPr>
            <w:tcW w:w="1998" w:type="dxa"/>
            <w:vAlign w:val="center"/>
          </w:tcPr>
          <w:p>
            <w:pPr>
              <w:spacing w:line="240" w:lineRule="atLeast"/>
              <w:ind w:firstLine="960" w:firstLineChars="400"/>
              <w:rPr>
                <w:rFonts w:asciiTheme="minorEastAsia" w:hAnsiTheme="minorEastAsia" w:eastAsiaTheme="minorEastAsia"/>
                <w:sz w:val="24"/>
                <w:szCs w:val="24"/>
              </w:rPr>
            </w:pPr>
            <w:r>
              <w:rPr>
                <w:rFonts w:asciiTheme="minorEastAsia" w:hAnsiTheme="minorEastAsia" w:eastAsiaTheme="minorEastAsia"/>
                <w:sz w:val="24"/>
                <w:szCs w:val="24"/>
              </w:rPr>
              <w:t>250</w:t>
            </w:r>
          </w:p>
        </w:tc>
        <w:tc>
          <w:tcPr>
            <w:tcW w:w="3242" w:type="dxa"/>
            <w:vMerge w:val="restart"/>
            <w:vAlign w:val="center"/>
          </w:tcPr>
          <w:p>
            <w:pPr>
              <w:spacing w:line="24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医疗机构水污染物排放标准（</w:t>
            </w:r>
            <w:r>
              <w:rPr>
                <w:rFonts w:asciiTheme="minorEastAsia" w:hAnsiTheme="minorEastAsia" w:eastAsiaTheme="minorEastAsia"/>
                <w:sz w:val="24"/>
                <w:szCs w:val="24"/>
              </w:rPr>
              <w:t>GB 18466-2005</w:t>
            </w:r>
            <w:r>
              <w:rPr>
                <w:rFonts w:hint="eastAsia"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五日生化需氧量</w:t>
            </w:r>
          </w:p>
        </w:tc>
        <w:tc>
          <w:tcPr>
            <w:tcW w:w="1800" w:type="dxa"/>
            <w:vAlign w:val="center"/>
          </w:tcPr>
          <w:p>
            <w:pPr>
              <w:spacing w:line="240" w:lineRule="atLeast"/>
              <w:ind w:firstLine="480"/>
              <w:rPr>
                <w:rFonts w:asciiTheme="minorEastAsia" w:hAnsiTheme="minorEastAsia" w:eastAsiaTheme="minorEastAsia"/>
                <w:sz w:val="24"/>
                <w:szCs w:val="24"/>
              </w:rPr>
            </w:pPr>
            <w:r>
              <w:rPr>
                <w:rFonts w:asciiTheme="minorEastAsia" w:hAnsiTheme="minorEastAsia" w:eastAsiaTheme="minorEastAsia"/>
                <w:sz w:val="24"/>
                <w:szCs w:val="24"/>
              </w:rPr>
              <w:t>mg/L</w:t>
            </w:r>
          </w:p>
        </w:tc>
        <w:tc>
          <w:tcPr>
            <w:tcW w:w="1998" w:type="dxa"/>
            <w:vAlign w:val="center"/>
          </w:tcPr>
          <w:p>
            <w:pPr>
              <w:spacing w:line="240" w:lineRule="atLeast"/>
              <w:ind w:firstLine="960" w:firstLineChars="400"/>
              <w:rPr>
                <w:rFonts w:asciiTheme="minorEastAsia" w:hAnsiTheme="minorEastAsia" w:eastAsiaTheme="minorEastAsia"/>
                <w:sz w:val="24"/>
                <w:szCs w:val="24"/>
              </w:rPr>
            </w:pPr>
            <w:r>
              <w:rPr>
                <w:rFonts w:asciiTheme="minorEastAsia" w:hAnsiTheme="minorEastAsia" w:eastAsiaTheme="minorEastAsia"/>
                <w:sz w:val="24"/>
                <w:szCs w:val="24"/>
              </w:rPr>
              <w:t>100</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rPr>
                <w:rFonts w:asciiTheme="minorEastAsia" w:hAnsiTheme="minorEastAsia" w:eastAsiaTheme="minorEastAsia"/>
                <w:sz w:val="24"/>
                <w:szCs w:val="24"/>
              </w:rPr>
            </w:pPr>
            <w:r>
              <w:rPr>
                <w:rFonts w:asciiTheme="minorEastAsia" w:hAnsiTheme="minorEastAsia" w:eastAsiaTheme="minorEastAsia"/>
                <w:sz w:val="24"/>
                <w:szCs w:val="24"/>
              </w:rPr>
              <w:t>pH</w:t>
            </w:r>
          </w:p>
        </w:tc>
        <w:tc>
          <w:tcPr>
            <w:tcW w:w="1800" w:type="dxa"/>
            <w:vAlign w:val="center"/>
          </w:tcPr>
          <w:p>
            <w:pPr>
              <w:spacing w:line="240" w:lineRule="atLeas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无量纲</w:t>
            </w:r>
          </w:p>
        </w:tc>
        <w:tc>
          <w:tcPr>
            <w:tcW w:w="1998" w:type="dxa"/>
            <w:vAlign w:val="center"/>
          </w:tcPr>
          <w:p>
            <w:pPr>
              <w:spacing w:line="240" w:lineRule="atLeast"/>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w:t>
            </w:r>
            <w:r>
              <w:rPr>
                <w:rFonts w:asciiTheme="minorEastAsia" w:hAnsiTheme="minorEastAsia" w:eastAsiaTheme="minorEastAsia"/>
                <w:sz w:val="24"/>
                <w:szCs w:val="24"/>
              </w:rPr>
              <w:t>9</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悬浮物</w:t>
            </w:r>
          </w:p>
        </w:tc>
        <w:tc>
          <w:tcPr>
            <w:tcW w:w="1800" w:type="dxa"/>
            <w:vAlign w:val="center"/>
          </w:tcPr>
          <w:p>
            <w:pPr>
              <w:spacing w:line="240" w:lineRule="atLeast"/>
              <w:ind w:firstLine="480"/>
              <w:rPr>
                <w:rFonts w:asciiTheme="minorEastAsia" w:hAnsiTheme="minorEastAsia" w:eastAsiaTheme="minorEastAsia"/>
                <w:sz w:val="24"/>
                <w:szCs w:val="24"/>
              </w:rPr>
            </w:pPr>
            <w:r>
              <w:rPr>
                <w:rFonts w:asciiTheme="minorEastAsia" w:hAnsiTheme="minorEastAsia" w:eastAsiaTheme="minorEastAsia"/>
                <w:sz w:val="24"/>
                <w:szCs w:val="24"/>
              </w:rPr>
              <w:t>mg/L</w:t>
            </w:r>
          </w:p>
        </w:tc>
        <w:tc>
          <w:tcPr>
            <w:tcW w:w="1998" w:type="dxa"/>
            <w:vAlign w:val="center"/>
          </w:tcPr>
          <w:p>
            <w:pPr>
              <w:spacing w:line="240" w:lineRule="atLeast"/>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60</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粪大肠菌群</w:t>
            </w:r>
          </w:p>
        </w:tc>
        <w:tc>
          <w:tcPr>
            <w:tcW w:w="1800" w:type="dxa"/>
            <w:vAlign w:val="center"/>
          </w:tcPr>
          <w:p>
            <w:pPr>
              <w:spacing w:line="240" w:lineRule="atLeas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个</w:t>
            </w:r>
            <w:r>
              <w:rPr>
                <w:rFonts w:asciiTheme="minorEastAsia" w:hAnsiTheme="minorEastAsia" w:eastAsiaTheme="minorEastAsia"/>
                <w:sz w:val="24"/>
                <w:szCs w:val="24"/>
              </w:rPr>
              <w:t>/L</w:t>
            </w:r>
          </w:p>
        </w:tc>
        <w:tc>
          <w:tcPr>
            <w:tcW w:w="1998" w:type="dxa"/>
            <w:vAlign w:val="center"/>
          </w:tcPr>
          <w:p>
            <w:pPr>
              <w:spacing w:line="240" w:lineRule="atLeast"/>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5000</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ind w:firstLine="120" w:firstLineChars="50"/>
              <w:rPr>
                <w:rFonts w:asciiTheme="minorEastAsia" w:hAnsiTheme="minorEastAsia" w:eastAsiaTheme="minorEastAsia"/>
                <w:sz w:val="24"/>
                <w:szCs w:val="24"/>
              </w:rPr>
            </w:pPr>
            <w:r>
              <w:rPr>
                <w:rFonts w:hint="eastAsia" w:asciiTheme="minorEastAsia" w:hAnsiTheme="minorEastAsia" w:eastAsiaTheme="minorEastAsia"/>
                <w:sz w:val="24"/>
                <w:szCs w:val="24"/>
              </w:rPr>
              <w:t>石油类</w:t>
            </w:r>
          </w:p>
        </w:tc>
        <w:tc>
          <w:tcPr>
            <w:tcW w:w="1800" w:type="dxa"/>
            <w:vAlign w:val="center"/>
          </w:tcPr>
          <w:p>
            <w:pPr>
              <w:spacing w:line="240" w:lineRule="atLeast"/>
              <w:ind w:firstLine="480"/>
              <w:rPr>
                <w:rFonts w:asciiTheme="minorEastAsia" w:hAnsiTheme="minorEastAsia" w:eastAsiaTheme="minorEastAsia"/>
                <w:sz w:val="24"/>
                <w:szCs w:val="24"/>
              </w:rPr>
            </w:pPr>
            <w:r>
              <w:rPr>
                <w:rFonts w:asciiTheme="minorEastAsia" w:hAnsiTheme="minorEastAsia" w:eastAsiaTheme="minorEastAsia"/>
                <w:sz w:val="24"/>
                <w:szCs w:val="24"/>
              </w:rPr>
              <w:t>mg/L</w:t>
            </w:r>
          </w:p>
        </w:tc>
        <w:tc>
          <w:tcPr>
            <w:tcW w:w="1998" w:type="dxa"/>
            <w:vAlign w:val="center"/>
          </w:tcPr>
          <w:p>
            <w:pPr>
              <w:spacing w:line="240" w:lineRule="atLeast"/>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20</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动植物油</w:t>
            </w:r>
          </w:p>
        </w:tc>
        <w:tc>
          <w:tcPr>
            <w:tcW w:w="1800" w:type="dxa"/>
            <w:vAlign w:val="center"/>
          </w:tcPr>
          <w:p>
            <w:pPr>
              <w:spacing w:line="240" w:lineRule="atLeast"/>
              <w:ind w:firstLine="480"/>
              <w:rPr>
                <w:rFonts w:asciiTheme="minorEastAsia" w:hAnsiTheme="minorEastAsia" w:eastAsiaTheme="minorEastAsia"/>
                <w:sz w:val="24"/>
                <w:szCs w:val="24"/>
              </w:rPr>
            </w:pPr>
            <w:r>
              <w:rPr>
                <w:rFonts w:asciiTheme="minorEastAsia" w:hAnsiTheme="minorEastAsia" w:eastAsiaTheme="minorEastAsia"/>
                <w:sz w:val="24"/>
                <w:szCs w:val="24"/>
              </w:rPr>
              <w:t>mg/L</w:t>
            </w:r>
          </w:p>
        </w:tc>
        <w:tc>
          <w:tcPr>
            <w:tcW w:w="1998" w:type="dxa"/>
            <w:vAlign w:val="center"/>
          </w:tcPr>
          <w:p>
            <w:pPr>
              <w:spacing w:line="240" w:lineRule="atLeast"/>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20</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阴离表面活性剂</w:t>
            </w:r>
          </w:p>
        </w:tc>
        <w:tc>
          <w:tcPr>
            <w:tcW w:w="1800" w:type="dxa"/>
            <w:vAlign w:val="center"/>
          </w:tcPr>
          <w:p>
            <w:pPr>
              <w:spacing w:line="240" w:lineRule="atLeast"/>
              <w:ind w:firstLine="480"/>
              <w:rPr>
                <w:rFonts w:asciiTheme="minorEastAsia" w:hAnsiTheme="minorEastAsia" w:eastAsiaTheme="minorEastAsia"/>
                <w:sz w:val="24"/>
                <w:szCs w:val="24"/>
              </w:rPr>
            </w:pPr>
            <w:r>
              <w:rPr>
                <w:rFonts w:asciiTheme="minorEastAsia" w:hAnsiTheme="minorEastAsia" w:eastAsiaTheme="minorEastAsia"/>
                <w:sz w:val="24"/>
                <w:szCs w:val="24"/>
              </w:rPr>
              <w:t>mg/L</w:t>
            </w:r>
          </w:p>
        </w:tc>
        <w:tc>
          <w:tcPr>
            <w:tcW w:w="1998" w:type="dxa"/>
            <w:vAlign w:val="center"/>
          </w:tcPr>
          <w:p>
            <w:pPr>
              <w:spacing w:line="240" w:lineRule="atLeast"/>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10</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挥发酚</w:t>
            </w:r>
          </w:p>
        </w:tc>
        <w:tc>
          <w:tcPr>
            <w:tcW w:w="1800" w:type="dxa"/>
            <w:vAlign w:val="center"/>
          </w:tcPr>
          <w:p>
            <w:pPr>
              <w:spacing w:line="240" w:lineRule="atLeast"/>
              <w:ind w:firstLine="480"/>
              <w:rPr>
                <w:rFonts w:asciiTheme="minorEastAsia" w:hAnsiTheme="minorEastAsia" w:eastAsiaTheme="minorEastAsia"/>
                <w:sz w:val="24"/>
                <w:szCs w:val="24"/>
              </w:rPr>
            </w:pPr>
            <w:r>
              <w:rPr>
                <w:rFonts w:asciiTheme="minorEastAsia" w:hAnsiTheme="minorEastAsia" w:eastAsiaTheme="minorEastAsia"/>
                <w:sz w:val="24"/>
                <w:szCs w:val="24"/>
              </w:rPr>
              <w:t>mg/L</w:t>
            </w:r>
          </w:p>
        </w:tc>
        <w:tc>
          <w:tcPr>
            <w:tcW w:w="1998" w:type="dxa"/>
            <w:vAlign w:val="center"/>
          </w:tcPr>
          <w:p>
            <w:pPr>
              <w:spacing w:line="240" w:lineRule="atLeast"/>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1.0</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总氰化物</w:t>
            </w:r>
          </w:p>
        </w:tc>
        <w:tc>
          <w:tcPr>
            <w:tcW w:w="1800" w:type="dxa"/>
            <w:vAlign w:val="center"/>
          </w:tcPr>
          <w:p>
            <w:pPr>
              <w:spacing w:line="240" w:lineRule="atLeast"/>
              <w:ind w:firstLine="480"/>
              <w:rPr>
                <w:rFonts w:asciiTheme="minorEastAsia" w:hAnsiTheme="minorEastAsia" w:eastAsiaTheme="minorEastAsia"/>
                <w:sz w:val="24"/>
                <w:szCs w:val="24"/>
              </w:rPr>
            </w:pPr>
            <w:r>
              <w:rPr>
                <w:rFonts w:asciiTheme="minorEastAsia" w:hAnsiTheme="minorEastAsia" w:eastAsiaTheme="minorEastAsia"/>
                <w:sz w:val="24"/>
                <w:szCs w:val="24"/>
              </w:rPr>
              <w:t>mg/L</w:t>
            </w:r>
          </w:p>
        </w:tc>
        <w:tc>
          <w:tcPr>
            <w:tcW w:w="1998" w:type="dxa"/>
            <w:vAlign w:val="center"/>
          </w:tcPr>
          <w:p>
            <w:pPr>
              <w:spacing w:line="240" w:lineRule="atLeast"/>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0.5</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肠道致病菌</w:t>
            </w:r>
          </w:p>
        </w:tc>
        <w:tc>
          <w:tcPr>
            <w:tcW w:w="1800" w:type="dxa"/>
            <w:vAlign w:val="center"/>
          </w:tcPr>
          <w:p>
            <w:pPr>
              <w:spacing w:line="240" w:lineRule="atLeast"/>
              <w:ind w:firstLine="480"/>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1998" w:type="dxa"/>
            <w:vAlign w:val="center"/>
          </w:tcPr>
          <w:p>
            <w:pPr>
              <w:spacing w:line="240" w:lineRule="atLeast"/>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肠道病毒</w:t>
            </w:r>
          </w:p>
        </w:tc>
        <w:tc>
          <w:tcPr>
            <w:tcW w:w="1800" w:type="dxa"/>
            <w:vAlign w:val="center"/>
          </w:tcPr>
          <w:p>
            <w:pPr>
              <w:spacing w:line="240" w:lineRule="atLeast"/>
              <w:ind w:firstLine="480"/>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1998" w:type="dxa"/>
            <w:vAlign w:val="center"/>
          </w:tcPr>
          <w:p>
            <w:pPr>
              <w:spacing w:line="240" w:lineRule="atLeast"/>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总余氯</w:t>
            </w:r>
          </w:p>
        </w:tc>
        <w:tc>
          <w:tcPr>
            <w:tcW w:w="1800" w:type="dxa"/>
            <w:vAlign w:val="center"/>
          </w:tcPr>
          <w:p>
            <w:pPr>
              <w:spacing w:line="240" w:lineRule="atLeast"/>
              <w:ind w:firstLine="480"/>
              <w:rPr>
                <w:rFonts w:asciiTheme="minorEastAsia" w:hAnsiTheme="minorEastAsia" w:eastAsiaTheme="minorEastAsia"/>
                <w:sz w:val="24"/>
                <w:szCs w:val="24"/>
              </w:rPr>
            </w:pPr>
            <w:r>
              <w:rPr>
                <w:rFonts w:asciiTheme="minorEastAsia" w:hAnsiTheme="minorEastAsia" w:eastAsiaTheme="minorEastAsia"/>
                <w:sz w:val="24"/>
                <w:szCs w:val="24"/>
              </w:rPr>
              <w:t>mg/L</w:t>
            </w:r>
          </w:p>
        </w:tc>
        <w:tc>
          <w:tcPr>
            <w:tcW w:w="1998" w:type="dxa"/>
            <w:vAlign w:val="center"/>
          </w:tcPr>
          <w:p>
            <w:pPr>
              <w:spacing w:line="240" w:lineRule="atLeast"/>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spacing w:line="240" w:lineRule="atLeast"/>
              <w:jc w:val="center"/>
              <w:rPr>
                <w:rFonts w:asciiTheme="minorEastAsia" w:hAnsiTheme="minorEastAsia" w:eastAsiaTheme="minorEastAsia"/>
                <w:sz w:val="24"/>
                <w:szCs w:val="24"/>
              </w:rPr>
            </w:pPr>
          </w:p>
        </w:tc>
        <w:tc>
          <w:tcPr>
            <w:tcW w:w="1420" w:type="dxa"/>
            <w:vAlign w:val="center"/>
          </w:tcPr>
          <w:p>
            <w:pPr>
              <w:spacing w:line="240" w:lineRule="atLeast"/>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氨氮</w:t>
            </w:r>
          </w:p>
        </w:tc>
        <w:tc>
          <w:tcPr>
            <w:tcW w:w="1800" w:type="dxa"/>
            <w:vAlign w:val="center"/>
          </w:tcPr>
          <w:p>
            <w:pPr>
              <w:spacing w:line="240" w:lineRule="atLeast"/>
              <w:ind w:firstLine="480"/>
              <w:rPr>
                <w:rFonts w:asciiTheme="minorEastAsia" w:hAnsiTheme="minorEastAsia" w:eastAsiaTheme="minorEastAsia"/>
                <w:sz w:val="24"/>
                <w:szCs w:val="24"/>
              </w:rPr>
            </w:pPr>
            <w:r>
              <w:rPr>
                <w:rFonts w:asciiTheme="minorEastAsia" w:hAnsiTheme="minorEastAsia" w:eastAsiaTheme="minorEastAsia"/>
                <w:sz w:val="24"/>
                <w:szCs w:val="24"/>
              </w:rPr>
              <w:t>mg/L</w:t>
            </w:r>
          </w:p>
        </w:tc>
        <w:tc>
          <w:tcPr>
            <w:tcW w:w="1998" w:type="dxa"/>
            <w:vAlign w:val="center"/>
          </w:tcPr>
          <w:p>
            <w:pPr>
              <w:spacing w:line="240" w:lineRule="atLeast"/>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3242" w:type="dxa"/>
            <w:vMerge w:val="continue"/>
            <w:vAlign w:val="center"/>
          </w:tcPr>
          <w:p>
            <w:pPr>
              <w:spacing w:line="240" w:lineRule="atLeast"/>
              <w:jc w:val="center"/>
              <w:rPr>
                <w:rFonts w:asciiTheme="minorEastAsia" w:hAnsiTheme="minorEastAsia" w:eastAsiaTheme="minorEastAsia"/>
                <w:sz w:val="24"/>
                <w:szCs w:val="24"/>
              </w:rPr>
            </w:pPr>
          </w:p>
        </w:tc>
      </w:tr>
    </w:tbl>
    <w:p>
      <w:pPr>
        <w:spacing w:line="440" w:lineRule="exact"/>
        <w:ind w:firstLine="482"/>
        <w:jc w:val="center"/>
        <w:rPr>
          <w:rFonts w:asciiTheme="minorEastAsia" w:hAnsiTheme="minorEastAsia" w:eastAsiaTheme="minorEastAsia"/>
          <w:b/>
          <w:color w:val="000000"/>
          <w:sz w:val="24"/>
          <w:szCs w:val="24"/>
        </w:rPr>
      </w:pP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w:t>
      </w:r>
      <w:r>
        <w:rPr>
          <w:rFonts w:asciiTheme="minorEastAsia" w:hAnsiTheme="minorEastAsia" w:eastAsiaTheme="minorEastAsia"/>
          <w:sz w:val="24"/>
          <w:szCs w:val="24"/>
        </w:rPr>
        <w:t>*</w:t>
      </w:r>
      <w:r>
        <w:rPr>
          <w:rFonts w:hint="eastAsia" w:asciiTheme="minorEastAsia" w:hAnsiTheme="minorEastAsia" w:eastAsiaTheme="minorEastAsia"/>
          <w:sz w:val="24"/>
          <w:szCs w:val="24"/>
        </w:rPr>
        <w:t>以该项目环境影响评价及其批复、或环境管理限值要求为依据</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三、监测点位及厂区平面图</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主要的产排污环节、环境敏感点和监测点位及厂区平面示意图。</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监测布点图中应统一标识符。空气和废气：环境空气●，有组织废气◎，无组织废气○；水和废水：环境水质☆，废水★；噪声：敏感点噪声△，其他噪声▲；固体物质和固体废物：固体物质□，固体废物■。）</w:t>
      </w:r>
    </w:p>
    <w:p>
      <w:pPr>
        <w:spacing w:line="440" w:lineRule="exact"/>
        <w:ind w:firstLine="482"/>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图</w:t>
      </w:r>
      <w:r>
        <w:rPr>
          <w:rFonts w:asciiTheme="minorEastAsia" w:hAnsiTheme="minorEastAsia" w:eastAsiaTheme="minorEastAsia"/>
          <w:b/>
          <w:bCs/>
          <w:sz w:val="24"/>
          <w:szCs w:val="24"/>
        </w:rPr>
        <w:t>3-1</w:t>
      </w:r>
      <w:r>
        <w:rPr>
          <w:rFonts w:hint="eastAsia" w:asciiTheme="minorEastAsia" w:hAnsiTheme="minorEastAsia" w:eastAsiaTheme="minorEastAsia"/>
          <w:b/>
          <w:bCs/>
          <w:sz w:val="24"/>
          <w:szCs w:val="24"/>
        </w:rPr>
        <w:t>监测点位及厂区平面图</w:t>
      </w:r>
    </w:p>
    <w:p>
      <w:r>
        <w:drawing>
          <wp:inline distT="0" distB="0" distL="0" distR="0">
            <wp:extent cx="5771515" cy="4010025"/>
            <wp:effectExtent l="0" t="0" r="635" b="9525"/>
            <wp:docPr id="1" name="图片 1" descr="C:\Documents and Settings\Administrator\桌面\重钢总院监测点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重钢总院监测点位.bmp"/>
                    <pic:cNvPicPr>
                      <a:picLocks noChangeAspect="1" noChangeArrowheads="1"/>
                    </pic:cNvPicPr>
                  </pic:nvPicPr>
                  <pic:blipFill>
                    <a:blip r:embed="rId11" cstate="print"/>
                    <a:srcRect/>
                    <a:stretch>
                      <a:fillRect/>
                    </a:stretch>
                  </pic:blipFill>
                  <pic:spPr>
                    <a:xfrm>
                      <a:off x="0" y="0"/>
                      <a:ext cx="5771603" cy="4010025"/>
                    </a:xfrm>
                    <a:prstGeom prst="rect">
                      <a:avLst/>
                    </a:prstGeom>
                    <a:noFill/>
                    <a:ln w="9525">
                      <a:noFill/>
                      <a:miter lim="800000"/>
                      <a:headEnd/>
                      <a:tailEnd/>
                    </a:ln>
                  </pic:spPr>
                </pic:pic>
              </a:graphicData>
            </a:graphic>
          </wp:inline>
        </w:drawing>
      </w:r>
    </w:p>
    <w:p>
      <w:pPr>
        <w:spacing w:line="440" w:lineRule="exact"/>
        <w:ind w:firstLine="480" w:firstLineChars="200"/>
        <w:rPr>
          <w:rFonts w:ascii="宋体" w:hAnsi="宋体"/>
          <w:sz w:val="24"/>
          <w:szCs w:val="24"/>
        </w:rPr>
      </w:pPr>
      <w:r>
        <w:rPr>
          <w:rFonts w:hint="eastAsia" w:ascii="宋体" w:hAnsi="宋体"/>
          <w:sz w:val="24"/>
          <w:szCs w:val="24"/>
        </w:rPr>
        <w:t>四、监测结果公开时限</w:t>
      </w:r>
    </w:p>
    <w:p>
      <w:pPr>
        <w:spacing w:line="440" w:lineRule="exact"/>
        <w:ind w:firstLine="480" w:firstLineChars="200"/>
        <w:rPr>
          <w:rFonts w:ascii="宋体" w:hAnsi="宋体"/>
          <w:sz w:val="24"/>
          <w:szCs w:val="24"/>
        </w:rPr>
      </w:pPr>
      <w:r>
        <w:rPr>
          <w:rFonts w:ascii="宋体" w:hAnsi="宋体"/>
          <w:sz w:val="24"/>
          <w:szCs w:val="24"/>
        </w:rPr>
        <w:t>4.1</w:t>
      </w:r>
      <w:r>
        <w:rPr>
          <w:rFonts w:hint="eastAsia" w:ascii="宋体" w:hAnsi="宋体"/>
          <w:sz w:val="24"/>
          <w:szCs w:val="24"/>
        </w:rPr>
        <w:t>手工监测结果公开时限</w:t>
      </w:r>
    </w:p>
    <w:p>
      <w:pPr>
        <w:pStyle w:val="3"/>
        <w:spacing w:before="0" w:after="0" w:line="440" w:lineRule="exact"/>
        <w:ind w:firstLine="482" w:firstLineChars="200"/>
        <w:rPr>
          <w:rFonts w:ascii="宋体" w:cs="华文宋体"/>
          <w:sz w:val="24"/>
          <w:szCs w:val="24"/>
        </w:rPr>
      </w:pPr>
      <w:r>
        <w:rPr>
          <w:rFonts w:hint="eastAsia" w:ascii="宋体"/>
          <w:sz w:val="24"/>
          <w:szCs w:val="24"/>
        </w:rPr>
        <w:t>手工监测数据监测结果每次监测完成后的次日公布。</w:t>
      </w:r>
    </w:p>
    <w:p>
      <w:pP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pStyle w:val="6"/>
      </w:pPr>
    </w:p>
    <w:p>
      <w:pPr>
        <w:pStyle w:val="6"/>
      </w:pPr>
    </w:p>
    <w:p>
      <w:pPr>
        <w:spacing w:line="400" w:lineRule="exact"/>
        <w:rPr>
          <w:rFonts w:ascii="宋体" w:hAnsi="宋体"/>
          <w:color w:val="000000"/>
        </w:rPr>
      </w:pPr>
    </w:p>
    <w:p>
      <w:pPr>
        <w:pStyle w:val="6"/>
      </w:pPr>
    </w:p>
    <w:p>
      <w:pPr>
        <w:pStyle w:val="6"/>
      </w:pPr>
    </w:p>
    <w:p>
      <w:pPr>
        <w:pStyle w:val="6"/>
      </w:pPr>
    </w:p>
    <w:p>
      <w:pPr>
        <w:pStyle w:val="6"/>
      </w:pPr>
    </w:p>
    <w:p>
      <w:pPr>
        <w:pStyle w:val="6"/>
      </w:pPr>
    </w:p>
    <w:p>
      <w:pPr>
        <w:pStyle w:val="6"/>
      </w:pPr>
    </w:p>
    <w:p>
      <w:pPr>
        <w:pStyle w:val="6"/>
      </w:pPr>
    </w:p>
    <w:p>
      <w:pPr>
        <w:pStyle w:val="6"/>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第四章  部份响应文件格式（可参照）</w:t>
      </w:r>
    </w:p>
    <w:p>
      <w:pPr>
        <w:jc w:val="center"/>
        <w:rPr>
          <w:rFonts w:ascii="宋体" w:hAns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pPr>
        <w:jc w:val="left"/>
      </w:pPr>
    </w:p>
    <w:p>
      <w:pPr>
        <w:jc w:val="left"/>
      </w:pPr>
    </w:p>
    <w:p>
      <w:pPr>
        <w:jc w:val="left"/>
      </w:pPr>
    </w:p>
    <w:p>
      <w:pPr>
        <w:jc w:val="left"/>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pStyle w:val="2"/>
      </w:pPr>
    </w:p>
    <w:p/>
    <w:p>
      <w:pPr>
        <w:jc w:val="left"/>
      </w:pPr>
    </w:p>
    <w:p>
      <w:pPr>
        <w:spacing w:line="480" w:lineRule="exact"/>
        <w:jc w:val="center"/>
        <w:rPr>
          <w:rFonts w:ascii="宋体" w:hAnsi="宋体"/>
          <w:b/>
          <w:sz w:val="32"/>
          <w:szCs w:val="32"/>
        </w:rPr>
      </w:pPr>
    </w:p>
    <w:p>
      <w:pPr>
        <w:spacing w:line="480" w:lineRule="exact"/>
        <w:jc w:val="center"/>
        <w:rPr>
          <w:rFonts w:ascii="宋体" w:hAnsi="宋体"/>
          <w:b/>
          <w:sz w:val="32"/>
          <w:szCs w:val="32"/>
        </w:rPr>
      </w:pPr>
      <w:r>
        <w:rPr>
          <w:rFonts w:ascii="宋体" w:hAnsi="宋体"/>
          <w:b/>
          <w:sz w:val="32"/>
          <w:szCs w:val="32"/>
        </w:rPr>
        <w:t>目录</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一、比选报价函；</w:t>
      </w:r>
    </w:p>
    <w:p>
      <w:pPr>
        <w:spacing w:line="480" w:lineRule="exact"/>
        <w:ind w:firstLine="480" w:firstLineChars="200"/>
        <w:jc w:val="left"/>
        <w:rPr>
          <w:rFonts w:ascii="宋体" w:hAnsi="宋体"/>
          <w:sz w:val="24"/>
          <w:szCs w:val="24"/>
        </w:rPr>
      </w:pPr>
      <w:r>
        <w:rPr>
          <w:rFonts w:hint="eastAsia" w:ascii="宋体" w:hAnsi="宋体"/>
          <w:sz w:val="24"/>
          <w:szCs w:val="24"/>
        </w:rPr>
        <w:t>二、法定代表人身份证明及授权委托书；</w:t>
      </w:r>
    </w:p>
    <w:p>
      <w:pPr>
        <w:spacing w:line="480" w:lineRule="exact"/>
        <w:ind w:firstLine="480" w:firstLineChars="200"/>
        <w:jc w:val="left"/>
        <w:rPr>
          <w:rFonts w:ascii="宋体" w:hAnsi="宋体"/>
          <w:sz w:val="24"/>
          <w:szCs w:val="24"/>
        </w:rPr>
      </w:pPr>
      <w:r>
        <w:rPr>
          <w:rFonts w:hint="eastAsia" w:ascii="宋体" w:hAnsi="宋体"/>
          <w:sz w:val="24"/>
          <w:szCs w:val="24"/>
        </w:rPr>
        <w:t>三、资质材料；</w:t>
      </w:r>
    </w:p>
    <w:p>
      <w:pPr>
        <w:spacing w:line="480" w:lineRule="exact"/>
        <w:ind w:firstLine="480" w:firstLineChars="200"/>
        <w:jc w:val="left"/>
        <w:rPr>
          <w:rFonts w:ascii="宋体" w:hAnsi="宋体"/>
          <w:sz w:val="24"/>
          <w:szCs w:val="24"/>
        </w:rPr>
      </w:pPr>
      <w:r>
        <w:rPr>
          <w:rFonts w:hint="eastAsia" w:ascii="宋体" w:hAnsi="宋体"/>
          <w:sz w:val="24"/>
          <w:szCs w:val="24"/>
        </w:rPr>
        <w:t>四、响应方案（</w:t>
      </w:r>
      <w:r>
        <w:rPr>
          <w:rFonts w:hint="eastAsia" w:ascii="宋体" w:hAnsi="宋体" w:cs="宋体"/>
          <w:sz w:val="24"/>
          <w:szCs w:val="24"/>
        </w:rPr>
        <w:t>技术材料</w:t>
      </w:r>
      <w:r>
        <w:rPr>
          <w:rFonts w:hint="eastAsia" w:ascii="宋体" w:hAnsi="宋体"/>
          <w:sz w:val="24"/>
          <w:szCs w:val="24"/>
        </w:rPr>
        <w:t>）；</w:t>
      </w:r>
    </w:p>
    <w:p>
      <w:pPr>
        <w:spacing w:line="480" w:lineRule="exact"/>
        <w:ind w:firstLine="480" w:firstLineChars="200"/>
        <w:jc w:val="left"/>
        <w:rPr>
          <w:rFonts w:ascii="宋体" w:hAnsi="宋体"/>
          <w:sz w:val="24"/>
          <w:szCs w:val="24"/>
        </w:rPr>
      </w:pPr>
      <w:r>
        <w:rPr>
          <w:rFonts w:hint="eastAsia" w:ascii="宋体" w:hAnsi="宋体"/>
          <w:sz w:val="24"/>
          <w:szCs w:val="24"/>
        </w:rPr>
        <w:t>五、其它须说明材料。</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both"/>
        <w:rPr>
          <w:rFonts w:ascii="宋体" w:hAnsi="宋体"/>
          <w:b/>
          <w:sz w:val="32"/>
          <w:szCs w:val="32"/>
        </w:rPr>
      </w:pPr>
      <w:bookmarkStart w:id="3" w:name="_GoBack"/>
      <w:bookmarkEnd w:id="3"/>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ascii="宋体" w:hAnsi="宋体"/>
          <w:b/>
          <w:sz w:val="32"/>
          <w:szCs w:val="32"/>
        </w:rPr>
        <w:t>一、响 应 函</w:t>
      </w:r>
    </w:p>
    <w:p>
      <w:pPr>
        <w:spacing w:line="460" w:lineRule="exact"/>
        <w:jc w:val="left"/>
        <w:rPr>
          <w:rFonts w:ascii="宋体" w:hAnsi="宋体"/>
          <w:sz w:val="24"/>
          <w:szCs w:val="24"/>
        </w:rPr>
      </w:pPr>
    </w:p>
    <w:p>
      <w:pPr>
        <w:spacing w:line="460" w:lineRule="exact"/>
        <w:jc w:val="left"/>
        <w:rPr>
          <w:rFonts w:ascii="宋体" w:hAnsi="宋体"/>
          <w:sz w:val="24"/>
          <w:szCs w:val="24"/>
        </w:rPr>
      </w:pPr>
      <w:r>
        <w:rPr>
          <w:rFonts w:ascii="宋体" w:hAnsi="宋体"/>
          <w:sz w:val="24"/>
          <w:szCs w:val="24"/>
        </w:rPr>
        <w:t>比选人名称：</w:t>
      </w:r>
    </w:p>
    <w:p>
      <w:pPr>
        <w:spacing w:line="460" w:lineRule="exact"/>
        <w:ind w:firstLine="480" w:firstLineChars="200"/>
        <w:jc w:val="left"/>
        <w:rPr>
          <w:rFonts w:asciiTheme="minorEastAsia" w:hAnsiTheme="minorEastAsia"/>
          <w:sz w:val="24"/>
          <w:szCs w:val="24"/>
        </w:rPr>
      </w:pPr>
      <w:r>
        <w:rPr>
          <w:rFonts w:ascii="宋体" w:hAnsi="宋体"/>
          <w:sz w:val="24"/>
          <w:szCs w:val="24"/>
        </w:rPr>
        <w:t>1</w:t>
      </w:r>
      <w:r>
        <w:rPr>
          <w:rFonts w:hint="eastAsia" w:ascii="宋体" w:hAnsi="宋体"/>
          <w:sz w:val="24"/>
          <w:szCs w:val="24"/>
        </w:rPr>
        <w:t>．</w:t>
      </w:r>
      <w:r>
        <w:rPr>
          <w:rFonts w:asciiTheme="minorEastAsia" w:hAnsiTheme="minorEastAsia"/>
          <w:sz w:val="24"/>
          <w:szCs w:val="24"/>
        </w:rPr>
        <w:t>我方已仔细研究了（项目名称）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愿意</w:t>
      </w:r>
      <w:r>
        <w:rPr>
          <w:rFonts w:asciiTheme="minorEastAsia" w:hAnsiTheme="minorEastAsia"/>
          <w:sz w:val="24"/>
          <w:szCs w:val="24"/>
        </w:rPr>
        <w:t>以</w:t>
      </w:r>
      <w:r>
        <w:rPr>
          <w:rFonts w:hint="eastAsia" w:asciiTheme="minorEastAsia" w:hAnsiTheme="minorEastAsia"/>
          <w:sz w:val="24"/>
          <w:szCs w:val="24"/>
        </w:rPr>
        <w:t>的报价（</w:t>
      </w:r>
      <w:r>
        <w:rPr>
          <w:rFonts w:asciiTheme="minorEastAsia" w:hAnsiTheme="minorEastAsia"/>
          <w:sz w:val="24"/>
          <w:szCs w:val="24"/>
        </w:rPr>
        <w:t>含税价</w:t>
      </w:r>
      <w:r>
        <w:rPr>
          <w:rFonts w:hint="eastAsia" w:asciiTheme="minorEastAsia" w:hAnsiTheme="minorEastAsia"/>
          <w:sz w:val="24"/>
          <w:szCs w:val="24"/>
        </w:rPr>
        <w:t>）</w:t>
      </w:r>
      <w:r>
        <w:rPr>
          <w:rFonts w:asciiTheme="minorEastAsia" w:hAnsiTheme="minorEastAsia"/>
          <w:sz w:val="24"/>
          <w:szCs w:val="24"/>
        </w:rPr>
        <w:t>完成本项目并按合同约定履行义务。</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我方的响应文件包括下列内容：</w:t>
      </w:r>
    </w:p>
    <w:p>
      <w:pPr>
        <w:spacing w:line="460" w:lineRule="exact"/>
        <w:ind w:firstLine="480" w:firstLineChars="200"/>
        <w:jc w:val="left"/>
        <w:rPr>
          <w:rFonts w:ascii="宋体" w:hAnsi="宋体"/>
          <w:sz w:val="24"/>
          <w:szCs w:val="24"/>
        </w:rPr>
      </w:pPr>
      <w:r>
        <w:rPr>
          <w:rFonts w:hint="eastAsia" w:ascii="宋体" w:hAnsi="宋体"/>
          <w:sz w:val="24"/>
          <w:szCs w:val="24"/>
        </w:rPr>
        <w:t>（1）比选报价函；</w:t>
      </w:r>
    </w:p>
    <w:p>
      <w:pPr>
        <w:spacing w:line="460" w:lineRule="exact"/>
        <w:ind w:firstLine="480" w:firstLineChars="200"/>
        <w:jc w:val="left"/>
        <w:rPr>
          <w:rFonts w:ascii="宋体" w:hAnsi="宋体"/>
          <w:sz w:val="24"/>
          <w:szCs w:val="24"/>
        </w:rPr>
      </w:pPr>
      <w:r>
        <w:rPr>
          <w:rFonts w:hint="eastAsia" w:ascii="宋体" w:hAnsi="宋体"/>
          <w:sz w:val="24"/>
          <w:szCs w:val="24"/>
        </w:rPr>
        <w:t>（2）法定代表人身份证明及授权委托书；</w:t>
      </w:r>
    </w:p>
    <w:p>
      <w:pPr>
        <w:spacing w:line="460" w:lineRule="exact"/>
        <w:ind w:firstLine="480" w:firstLineChars="200"/>
        <w:jc w:val="left"/>
        <w:rPr>
          <w:rFonts w:ascii="宋体" w:hAnsi="宋体"/>
          <w:sz w:val="24"/>
          <w:szCs w:val="24"/>
        </w:rPr>
      </w:pPr>
      <w:r>
        <w:rPr>
          <w:rFonts w:hint="eastAsia" w:ascii="宋体" w:hAnsi="宋体"/>
          <w:sz w:val="24"/>
          <w:szCs w:val="24"/>
        </w:rPr>
        <w:t>（3）营业执照副本；</w:t>
      </w:r>
    </w:p>
    <w:p>
      <w:pPr>
        <w:spacing w:line="460" w:lineRule="exact"/>
        <w:ind w:firstLine="480" w:firstLineChars="200"/>
        <w:jc w:val="left"/>
        <w:rPr>
          <w:rFonts w:ascii="宋体" w:hAnsi="宋体"/>
          <w:sz w:val="24"/>
          <w:szCs w:val="24"/>
        </w:rPr>
      </w:pPr>
      <w:r>
        <w:rPr>
          <w:rFonts w:hint="eastAsia" w:ascii="宋体" w:hAnsi="宋体"/>
          <w:sz w:val="24"/>
          <w:szCs w:val="24"/>
        </w:rPr>
        <w:t>（4）资质材料；</w:t>
      </w:r>
    </w:p>
    <w:p>
      <w:pPr>
        <w:spacing w:line="460" w:lineRule="exact"/>
        <w:ind w:firstLine="480" w:firstLineChars="200"/>
        <w:jc w:val="left"/>
        <w:rPr>
          <w:rFonts w:ascii="宋体" w:hAnsi="宋体"/>
          <w:sz w:val="24"/>
          <w:szCs w:val="24"/>
        </w:rPr>
      </w:pPr>
      <w:r>
        <w:rPr>
          <w:rFonts w:hint="eastAsia" w:ascii="宋体" w:hAnsi="宋体"/>
          <w:sz w:val="24"/>
          <w:szCs w:val="24"/>
        </w:rPr>
        <w:t>（5）其它须说明材料。</w:t>
      </w:r>
    </w:p>
    <w:p>
      <w:pPr>
        <w:spacing w:line="460" w:lineRule="exact"/>
        <w:ind w:firstLine="480" w:firstLineChars="200"/>
        <w:jc w:val="left"/>
        <w:rPr>
          <w:rFonts w:ascii="宋体" w:hAnsi="宋体"/>
          <w:sz w:val="24"/>
          <w:szCs w:val="24"/>
        </w:rPr>
      </w:pPr>
      <w:r>
        <w:rPr>
          <w:rFonts w:ascii="宋体" w:hAnsi="宋体"/>
          <w:sz w:val="24"/>
          <w:szCs w:val="24"/>
        </w:rPr>
        <w:t>响应文件的上述组成部分如存在内容不一致的，以响应函为准。</w:t>
      </w:r>
    </w:p>
    <w:p>
      <w:pPr>
        <w:spacing w:line="46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我方承诺响应</w:t>
      </w:r>
      <w:r>
        <w:rPr>
          <w:rFonts w:hint="eastAsia" w:ascii="宋体" w:hAnsi="宋体"/>
          <w:sz w:val="24"/>
          <w:szCs w:val="24"/>
        </w:rPr>
        <w:t>比选</w:t>
      </w:r>
      <w:r>
        <w:rPr>
          <w:rFonts w:ascii="宋体" w:hAnsi="宋体"/>
          <w:sz w:val="24"/>
          <w:szCs w:val="24"/>
        </w:rPr>
        <w:t>文件的全部要求。</w:t>
      </w:r>
    </w:p>
    <w:p>
      <w:pPr>
        <w:spacing w:line="460" w:lineRule="exact"/>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我方承诺在</w:t>
      </w:r>
      <w:r>
        <w:rPr>
          <w:rFonts w:hint="eastAsia" w:ascii="宋体" w:hAnsi="宋体"/>
          <w:sz w:val="24"/>
          <w:szCs w:val="24"/>
        </w:rPr>
        <w:t>比选</w:t>
      </w:r>
      <w:r>
        <w:rPr>
          <w:rFonts w:ascii="宋体" w:hAnsi="宋体"/>
          <w:sz w:val="24"/>
          <w:szCs w:val="24"/>
        </w:rPr>
        <w:t>文件规定的响应文件有效期内不撤销响应文件。</w:t>
      </w:r>
    </w:p>
    <w:p>
      <w:pPr>
        <w:spacing w:line="460" w:lineRule="exact"/>
        <w:ind w:firstLine="480" w:firstLineChars="200"/>
        <w:jc w:val="left"/>
        <w:rPr>
          <w:rFonts w:ascii="宋体" w:hAnsi="宋体"/>
          <w:sz w:val="24"/>
          <w:szCs w:val="24"/>
        </w:rPr>
      </w:pPr>
      <w:r>
        <w:rPr>
          <w:rFonts w:hint="eastAsia" w:ascii="宋体" w:hAnsi="宋体"/>
          <w:sz w:val="24"/>
          <w:szCs w:val="24"/>
        </w:rPr>
        <w:t>5．</w:t>
      </w:r>
      <w:r>
        <w:rPr>
          <w:rFonts w:ascii="宋体" w:hAnsi="宋体"/>
          <w:sz w:val="24"/>
          <w:szCs w:val="24"/>
        </w:rPr>
        <w:t>如我方成交，我方承诺：</w:t>
      </w:r>
    </w:p>
    <w:p>
      <w:pPr>
        <w:spacing w:line="46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在收到成交通知书后，在成交通知书规定的期限内与你方签订合同；</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在签订合同时不向你方提出附加条件；</w:t>
      </w:r>
    </w:p>
    <w:p>
      <w:pPr>
        <w:spacing w:line="460" w:lineRule="exact"/>
        <w:ind w:firstLine="480" w:firstLineChars="200"/>
        <w:jc w:val="left"/>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在合同约定的期限内完成合同规定的全部义务。</w:t>
      </w:r>
    </w:p>
    <w:p>
      <w:pPr>
        <w:spacing w:line="460" w:lineRule="exact"/>
        <w:ind w:firstLine="480" w:firstLineChars="200"/>
        <w:jc w:val="left"/>
        <w:rPr>
          <w:rFonts w:ascii="宋体" w:hAns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我方在此声明，所递交的响应文件及有关资料内容完整、真实和准确。</w:t>
      </w:r>
    </w:p>
    <w:p>
      <w:pPr>
        <w:spacing w:line="460" w:lineRule="exact"/>
        <w:ind w:firstLine="480" w:firstLineChars="200"/>
        <w:jc w:val="left"/>
        <w:rPr>
          <w:rFonts w:ascii="宋体" w:hAnsi="宋体"/>
          <w:sz w:val="24"/>
          <w:szCs w:val="24"/>
        </w:rPr>
      </w:pPr>
      <w:r>
        <w:rPr>
          <w:rFonts w:ascii="宋体" w:hAnsi="宋体"/>
          <w:sz w:val="24"/>
          <w:szCs w:val="24"/>
        </w:rPr>
        <w:t>7</w:t>
      </w:r>
      <w:r>
        <w:rPr>
          <w:rFonts w:hint="eastAsia" w:ascii="宋体" w:hAnsi="宋体"/>
          <w:sz w:val="24"/>
          <w:szCs w:val="24"/>
        </w:rPr>
        <w:t>．</w:t>
      </w:r>
      <w:r>
        <w:rPr>
          <w:rFonts w:ascii="宋体" w:hAnsi="宋体"/>
          <w:sz w:val="24"/>
          <w:szCs w:val="24"/>
        </w:rPr>
        <w:t>（其他补充说明）。</w:t>
      </w:r>
    </w:p>
    <w:p>
      <w:pPr>
        <w:spacing w:line="460" w:lineRule="exact"/>
        <w:ind w:firstLine="2040" w:firstLineChars="850"/>
        <w:jc w:val="left"/>
        <w:rPr>
          <w:rFonts w:ascii="宋体" w:hAnsi="宋体"/>
          <w:sz w:val="24"/>
          <w:szCs w:val="24"/>
        </w:rPr>
      </w:pPr>
    </w:p>
    <w:p>
      <w:pPr>
        <w:spacing w:line="460" w:lineRule="exact"/>
        <w:ind w:firstLine="1920" w:firstLineChars="800"/>
        <w:jc w:val="left"/>
        <w:rPr>
          <w:rFonts w:ascii="宋体" w:hAnsi="宋体"/>
          <w:sz w:val="24"/>
          <w:szCs w:val="24"/>
        </w:rPr>
      </w:pPr>
      <w:r>
        <w:rPr>
          <w:rFonts w:ascii="宋体" w:hAnsi="宋体"/>
          <w:sz w:val="24"/>
          <w:szCs w:val="24"/>
        </w:rPr>
        <w:t>供应商：（盖单位章）</w:t>
      </w:r>
    </w:p>
    <w:p>
      <w:pPr>
        <w:spacing w:line="460" w:lineRule="exact"/>
        <w:ind w:firstLine="1920" w:firstLineChars="800"/>
        <w:jc w:val="left"/>
        <w:rPr>
          <w:rFonts w:ascii="宋体" w:hAnsi="宋体"/>
          <w:sz w:val="24"/>
          <w:szCs w:val="24"/>
        </w:rPr>
      </w:pPr>
      <w:r>
        <w:rPr>
          <w:rFonts w:ascii="宋体" w:hAnsi="宋体"/>
          <w:sz w:val="24"/>
          <w:szCs w:val="24"/>
        </w:rPr>
        <w:t>法定代表人或其授权的代理人：（签字）</w:t>
      </w:r>
    </w:p>
    <w:p>
      <w:pPr>
        <w:spacing w:line="460" w:lineRule="exact"/>
        <w:ind w:firstLine="1920" w:firstLineChars="800"/>
        <w:jc w:val="left"/>
        <w:rPr>
          <w:rFonts w:ascii="宋体" w:hAnsi="宋体"/>
          <w:sz w:val="24"/>
          <w:szCs w:val="24"/>
          <w:u w:val="single"/>
        </w:rPr>
      </w:pPr>
      <w:r>
        <w:rPr>
          <w:rFonts w:ascii="宋体" w:hAnsi="宋体"/>
          <w:sz w:val="24"/>
          <w:szCs w:val="24"/>
        </w:rPr>
        <w:t>地址：</w:t>
      </w:r>
    </w:p>
    <w:p>
      <w:pPr>
        <w:spacing w:line="460" w:lineRule="exact"/>
        <w:ind w:firstLine="1920" w:firstLineChars="800"/>
        <w:jc w:val="left"/>
        <w:rPr>
          <w:rFonts w:ascii="宋体" w:hAnsi="宋体"/>
          <w:sz w:val="24"/>
          <w:szCs w:val="24"/>
          <w:u w:val="single"/>
        </w:rPr>
      </w:pPr>
      <w:r>
        <w:rPr>
          <w:rFonts w:hint="eastAsia" w:ascii="宋体" w:hAnsi="宋体"/>
          <w:sz w:val="24"/>
          <w:szCs w:val="24"/>
        </w:rPr>
        <w:t>电子邮箱：</w:t>
      </w:r>
    </w:p>
    <w:p>
      <w:pPr>
        <w:spacing w:line="460" w:lineRule="exact"/>
        <w:ind w:firstLine="1920" w:firstLineChars="800"/>
        <w:jc w:val="left"/>
        <w:rPr>
          <w:rFonts w:ascii="宋体" w:hAnsi="宋体"/>
          <w:sz w:val="24"/>
          <w:szCs w:val="24"/>
        </w:rPr>
      </w:pPr>
      <w:r>
        <w:rPr>
          <w:rFonts w:hint="eastAsia" w:ascii="宋体" w:hAnsi="宋体"/>
          <w:sz w:val="24"/>
          <w:szCs w:val="24"/>
        </w:rPr>
        <w:t>电    话：</w:t>
      </w:r>
    </w:p>
    <w:p>
      <w:pPr>
        <w:spacing w:line="460" w:lineRule="exact"/>
        <w:ind w:firstLine="1920" w:firstLineChars="800"/>
        <w:jc w:val="left"/>
        <w:rPr>
          <w:rFonts w:ascii="宋体" w:hAnsi="宋体"/>
          <w:sz w:val="24"/>
          <w:szCs w:val="24"/>
        </w:rPr>
      </w:pPr>
      <w:r>
        <w:rPr>
          <w:rFonts w:hint="eastAsia" w:ascii="宋体" w:hAnsi="宋体"/>
          <w:sz w:val="24"/>
          <w:szCs w:val="24"/>
        </w:rPr>
        <w:t>传    真：</w:t>
      </w:r>
    </w:p>
    <w:p>
      <w:pPr>
        <w:spacing w:line="460" w:lineRule="exact"/>
        <w:ind w:firstLine="7800" w:firstLineChars="3250"/>
        <w:jc w:val="left"/>
        <w:rPr>
          <w:rFonts w:ascii="宋体" w:hAnsi="宋体"/>
          <w:sz w:val="24"/>
          <w:szCs w:val="24"/>
        </w:rPr>
      </w:pPr>
      <w:r>
        <w:rPr>
          <w:rFonts w:hint="eastAsia" w:ascii="宋体" w:hAnsi="宋体"/>
          <w:sz w:val="24"/>
          <w:szCs w:val="24"/>
        </w:rPr>
        <w:t>年    月    日</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ascii="宋体" w:hAnsi="宋体"/>
          <w:b/>
          <w:sz w:val="32"/>
          <w:szCs w:val="32"/>
        </w:rPr>
        <w:t>二、授权委托书</w:t>
      </w:r>
    </w:p>
    <w:p>
      <w:pPr>
        <w:spacing w:line="480" w:lineRule="exact"/>
        <w:jc w:val="center"/>
        <w:rPr>
          <w:rFonts w:ascii="宋体" w:hAnsi="宋体"/>
          <w:sz w:val="24"/>
          <w:szCs w:val="24"/>
        </w:rPr>
      </w:pPr>
      <w:r>
        <w:rPr>
          <w:rFonts w:ascii="宋体" w:hAnsi="宋体"/>
          <w:sz w:val="24"/>
          <w:szCs w:val="24"/>
        </w:rPr>
        <w:t>（适用于有委托代理人的情况）</w:t>
      </w:r>
    </w:p>
    <w:p>
      <w:pPr>
        <w:spacing w:line="480" w:lineRule="exact"/>
        <w:jc w:val="left"/>
        <w:rPr>
          <w:rFonts w:ascii="宋体" w:hAnsi="宋体"/>
          <w:sz w:val="24"/>
          <w:szCs w:val="24"/>
        </w:rPr>
      </w:pPr>
    </w:p>
    <w:p>
      <w:pPr>
        <w:spacing w:line="480" w:lineRule="exact"/>
        <w:ind w:firstLine="480" w:firstLineChars="200"/>
        <w:jc w:val="left"/>
        <w:rPr>
          <w:rFonts w:ascii="宋体" w:hAnsi="宋体"/>
          <w:sz w:val="24"/>
          <w:szCs w:val="24"/>
          <w:u w:val="single"/>
        </w:rPr>
      </w:pPr>
      <w:r>
        <w:rPr>
          <w:rFonts w:ascii="宋体" w:hAnsi="宋体"/>
          <w:sz w:val="24"/>
          <w:szCs w:val="24"/>
        </w:rPr>
        <w:t>本人（姓名）系（供应商名称）的法定代表人，现委托（姓名）为我方代理人。代理人根据授权</w:t>
      </w:r>
      <w:r>
        <w:rPr>
          <w:rFonts w:hint="eastAsia" w:ascii="宋体" w:hAnsi="宋体"/>
          <w:sz w:val="24"/>
          <w:szCs w:val="24"/>
        </w:rPr>
        <w:t>，</w:t>
      </w:r>
      <w:r>
        <w:rPr>
          <w:rFonts w:ascii="宋体" w:hAnsi="宋体"/>
          <w:sz w:val="24"/>
          <w:szCs w:val="24"/>
        </w:rPr>
        <w:t>以我方名义签署、澄清确认、递交、撤回、修改</w:t>
      </w:r>
      <w:r>
        <w:rPr>
          <w:rFonts w:hint="eastAsia" w:ascii="宋体" w:hAnsi="宋体"/>
          <w:sz w:val="24"/>
          <w:szCs w:val="24"/>
        </w:rPr>
        <w:t>比选</w:t>
      </w:r>
      <w:r>
        <w:rPr>
          <w:rFonts w:ascii="宋体" w:hAnsi="宋体"/>
          <w:sz w:val="24"/>
          <w:szCs w:val="24"/>
        </w:rPr>
        <w:t>项目响应文件、签订合同和处理有关事宜，其法律后果由我方承担。</w:t>
      </w:r>
    </w:p>
    <w:p>
      <w:pPr>
        <w:spacing w:line="480" w:lineRule="exact"/>
        <w:jc w:val="left"/>
        <w:rPr>
          <w:rFonts w:ascii="宋体" w:hAnsi="宋体"/>
          <w:sz w:val="24"/>
          <w:szCs w:val="24"/>
        </w:rPr>
      </w:pPr>
      <w:r>
        <w:rPr>
          <w:rFonts w:ascii="宋体" w:hAnsi="宋体"/>
          <w:sz w:val="24"/>
          <w:szCs w:val="24"/>
        </w:rPr>
        <w:t>委托期限：自本委托书签署之日起至</w:t>
      </w:r>
      <w:r>
        <w:rPr>
          <w:rFonts w:hint="eastAsia" w:ascii="宋体" w:hAnsi="宋体"/>
          <w:sz w:val="24"/>
          <w:szCs w:val="24"/>
        </w:rPr>
        <w:t>比选</w:t>
      </w:r>
      <w:r>
        <w:rPr>
          <w:rFonts w:ascii="宋体" w:hAnsi="宋体"/>
          <w:sz w:val="24"/>
          <w:szCs w:val="24"/>
        </w:rPr>
        <w:t>项目签订采购合同之日止。</w:t>
      </w:r>
    </w:p>
    <w:p>
      <w:pPr>
        <w:spacing w:line="480" w:lineRule="exact"/>
        <w:ind w:firstLine="480" w:firstLineChars="200"/>
        <w:jc w:val="left"/>
        <w:rPr>
          <w:rFonts w:ascii="宋体" w:hAnsi="宋体"/>
          <w:sz w:val="24"/>
          <w:szCs w:val="24"/>
        </w:rPr>
      </w:pPr>
      <w:r>
        <w:rPr>
          <w:rFonts w:ascii="宋体" w:hAnsi="宋体"/>
          <w:sz w:val="24"/>
          <w:szCs w:val="24"/>
        </w:rPr>
        <w:t>代理人无转委托权。</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ascii="宋体" w:hAnsi="宋体"/>
          <w:sz w:val="24"/>
          <w:szCs w:val="24"/>
        </w:rPr>
        <w:t>附：法定代表人身份证复印件及委托代理人身份证复印件。</w:t>
      </w: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ind w:firstLine="3000" w:firstLineChars="1250"/>
        <w:jc w:val="left"/>
        <w:rPr>
          <w:rFonts w:ascii="宋体" w:hAnsi="宋体"/>
          <w:sz w:val="24"/>
          <w:szCs w:val="24"/>
        </w:rPr>
      </w:pPr>
      <w:r>
        <w:rPr>
          <w:rFonts w:ascii="宋体" w:hAnsi="宋体"/>
          <w:sz w:val="24"/>
          <w:szCs w:val="24"/>
        </w:rPr>
        <w:t>供应商：（盖单位章）</w:t>
      </w:r>
    </w:p>
    <w:p>
      <w:pPr>
        <w:spacing w:line="480" w:lineRule="exact"/>
        <w:ind w:firstLine="3000" w:firstLineChars="1250"/>
        <w:jc w:val="left"/>
        <w:rPr>
          <w:rFonts w:ascii="宋体" w:hAnsi="宋体"/>
          <w:sz w:val="24"/>
          <w:szCs w:val="24"/>
        </w:rPr>
      </w:pPr>
      <w:r>
        <w:rPr>
          <w:rFonts w:ascii="宋体" w:hAnsi="宋体"/>
          <w:sz w:val="24"/>
          <w:szCs w:val="24"/>
        </w:rPr>
        <w:t>法定代表人：（签字）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p>
    <w:p>
      <w:pPr>
        <w:spacing w:line="480" w:lineRule="exact"/>
        <w:ind w:firstLine="3000" w:firstLineChars="1250"/>
        <w:jc w:val="left"/>
        <w:rPr>
          <w:rFonts w:ascii="宋体" w:hAnsi="宋体"/>
          <w:sz w:val="24"/>
          <w:szCs w:val="24"/>
        </w:rPr>
      </w:pPr>
      <w:r>
        <w:rPr>
          <w:rFonts w:ascii="宋体" w:hAnsi="宋体"/>
          <w:sz w:val="24"/>
          <w:szCs w:val="24"/>
        </w:rPr>
        <w:t>委托代理人：（签字）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p>
    <w:p>
      <w:pPr>
        <w:spacing w:line="480" w:lineRule="exact"/>
        <w:ind w:firstLine="7440" w:firstLineChars="3100"/>
        <w:jc w:val="left"/>
        <w:rPr>
          <w:rFonts w:ascii="宋体" w:hAnsi="宋体"/>
          <w:sz w:val="24"/>
          <w:szCs w:val="24"/>
        </w:rPr>
      </w:pPr>
    </w:p>
    <w:p>
      <w:pPr>
        <w:spacing w:line="480" w:lineRule="exact"/>
        <w:ind w:firstLine="7440" w:firstLineChars="3100"/>
        <w:jc w:val="left"/>
        <w:rPr>
          <w:rFonts w:ascii="宋体" w:hAnsi="宋体"/>
          <w:sz w:val="24"/>
          <w:szCs w:val="24"/>
        </w:rPr>
      </w:pPr>
      <w:r>
        <w:rPr>
          <w:rFonts w:hint="eastAsia" w:ascii="宋体" w:hAnsi="宋体"/>
          <w:sz w:val="24"/>
          <w:szCs w:val="24"/>
        </w:rPr>
        <w:t xml:space="preserve">年    月    </w:t>
      </w:r>
      <w:r>
        <w:rPr>
          <w:rFonts w:ascii="宋体" w:hAnsi="宋体"/>
          <w:sz w:val="24"/>
          <w:szCs w:val="24"/>
        </w:rPr>
        <w:t>日</w:t>
      </w:r>
    </w:p>
    <w:p/>
    <w:p/>
    <w:p/>
    <w:p/>
    <w:p/>
    <w:p/>
    <w:p/>
    <w:p/>
    <w:p/>
    <w:p/>
    <w:p/>
    <w:p/>
    <w:p/>
    <w:p/>
    <w:p>
      <w:pPr>
        <w:jc w:val="center"/>
        <w:rPr>
          <w:rFonts w:ascii="宋体" w:hAnsi="宋体"/>
          <w:b/>
          <w:sz w:val="32"/>
          <w:szCs w:val="32"/>
        </w:rPr>
      </w:pPr>
      <w:r>
        <w:rPr>
          <w:rFonts w:hint="eastAsia" w:ascii="宋体" w:hAnsi="宋体"/>
          <w:b/>
          <w:sz w:val="32"/>
          <w:szCs w:val="32"/>
        </w:rPr>
        <w:t>三、法定代表人身份证明</w:t>
      </w:r>
    </w:p>
    <w:p>
      <w:pPr>
        <w:spacing w:line="480" w:lineRule="exact"/>
        <w:ind w:left="765"/>
        <w:rPr>
          <w:rFonts w:ascii="宋体" w:hAns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响应人名称：</w:t>
      </w:r>
      <w:r>
        <w:rPr>
          <w:rFonts w:hint="eastAsia" w:ascii="宋体" w:hAns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单位性质：</w:t>
      </w:r>
      <w:r>
        <w:rPr>
          <w:rFonts w:hint="eastAsia" w:ascii="宋体" w:hAns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地址：</w:t>
      </w:r>
      <w:r>
        <w:rPr>
          <w:rFonts w:hint="eastAsia" w:ascii="宋体" w:hAns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成立时间：</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月</w:t>
      </w:r>
      <w:r>
        <w:rPr>
          <w:rFonts w:hint="eastAsia" w:ascii="宋体" w:hAnsi="宋体" w:cs="MingLiU"/>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经营期限：</w:t>
      </w:r>
      <w:r>
        <w:rPr>
          <w:rFonts w:hint="eastAsia" w:ascii="宋体" w:hAns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姓名：</w:t>
      </w:r>
      <w:r>
        <w:rPr>
          <w:rFonts w:hint="eastAsia" w:ascii="宋体" w:hAnsi="宋体"/>
          <w:color w:val="000000"/>
          <w:kern w:val="0"/>
          <w:sz w:val="24"/>
          <w:szCs w:val="24"/>
          <w:u w:val="single"/>
        </w:rPr>
        <w:tab/>
      </w:r>
      <w:r>
        <w:rPr>
          <w:rFonts w:hint="eastAsia" w:ascii="宋体" w:hAnsi="宋体" w:cs="MingLiU"/>
          <w:color w:val="000000"/>
          <w:kern w:val="0"/>
          <w:sz w:val="24"/>
          <w:szCs w:val="24"/>
        </w:rPr>
        <w:t>性别</w:t>
      </w:r>
      <w:r>
        <w:rPr>
          <w:rFonts w:hint="eastAsia" w:ascii="宋体" w:hAnsi="宋体" w:cs="MingLiU"/>
          <w:color w:val="000000"/>
          <w:spacing w:val="-1"/>
          <w:kern w:val="0"/>
          <w:sz w:val="24"/>
          <w:szCs w:val="24"/>
        </w:rPr>
        <w:t>：</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kern w:val="0"/>
          <w:sz w:val="24"/>
          <w:szCs w:val="24"/>
        </w:rPr>
        <w:t>龄：职务：</w:t>
      </w:r>
      <w:r>
        <w:rPr>
          <w:rFonts w:hint="eastAsia" w:ascii="宋体" w:hAns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系</w:t>
      </w:r>
      <w:r>
        <w:rPr>
          <w:rFonts w:hint="eastAsia" w:ascii="宋体" w:hAnsi="宋体"/>
          <w:color w:val="000000"/>
          <w:kern w:val="0"/>
          <w:sz w:val="24"/>
          <w:szCs w:val="24"/>
          <w:u w:val="single"/>
        </w:rPr>
        <w:tab/>
      </w:r>
      <w:r>
        <w:rPr>
          <w:rFonts w:hint="eastAsia" w:ascii="宋体" w:hAnsi="宋体" w:cs="MingLiU"/>
          <w:color w:val="000000"/>
          <w:kern w:val="0"/>
          <w:sz w:val="24"/>
          <w:szCs w:val="24"/>
        </w:rPr>
        <w:t>（响应人名称）的法定代表人。</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特此证明。</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kern w:val="0"/>
          <w:sz w:val="24"/>
          <w:szCs w:val="24"/>
        </w:rPr>
        <w:t>月日</w:t>
      </w:r>
    </w:p>
    <w:p>
      <w:pPr>
        <w:autoSpaceDE w:val="0"/>
        <w:autoSpaceDN w:val="0"/>
        <w:adjustRightInd w:val="0"/>
        <w:snapToGrid w:val="0"/>
        <w:spacing w:line="480" w:lineRule="exact"/>
        <w:jc w:val="left"/>
        <w:rPr>
          <w:rFonts w:ascii="宋体" w:hAnsi="宋体"/>
          <w:color w:val="000000"/>
          <w:kern w:val="0"/>
          <w:sz w:val="24"/>
          <w:szCs w:val="24"/>
        </w:rPr>
      </w:pPr>
    </w:p>
    <w:tbl>
      <w:tblPr>
        <w:tblStyle w:val="13"/>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法定代表人身份证正面复印件</w:t>
            </w:r>
          </w:p>
          <w:p>
            <w:pPr>
              <w:spacing w:line="520" w:lineRule="exact"/>
              <w:rPr>
                <w:rFonts w:ascii="宋体" w:hAnsi="宋体"/>
                <w:b/>
                <w:color w:val="000000"/>
              </w:rPr>
            </w:pPr>
          </w:p>
        </w:tc>
      </w:tr>
    </w:tbl>
    <w:p>
      <w:pPr>
        <w:rPr>
          <w:rFonts w:ascii="宋体" w:hAnsi="宋体"/>
          <w:vanish/>
        </w:rPr>
      </w:pPr>
    </w:p>
    <w:tbl>
      <w:tblPr>
        <w:tblStyle w:val="13"/>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法定代表人身份证背面复印件</w:t>
            </w:r>
          </w:p>
          <w:p>
            <w:pPr>
              <w:spacing w:line="520" w:lineRule="exact"/>
              <w:rPr>
                <w:rFonts w:ascii="宋体" w:hAnsi="宋体"/>
                <w:b/>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p/>
    <w:p/>
    <w:p/>
    <w:p/>
    <w:p/>
    <w:p/>
    <w:p/>
    <w:p/>
    <w:p/>
    <w:p/>
    <w:p/>
    <w:p>
      <w:pPr>
        <w:sectPr>
          <w:footerReference r:id="rId9"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hAnsi="宋体"/>
          <w:b/>
          <w:sz w:val="32"/>
          <w:szCs w:val="32"/>
        </w:rPr>
      </w:pPr>
    </w:p>
    <w:p>
      <w:pPr>
        <w:spacing w:line="276" w:lineRule="auto"/>
        <w:jc w:val="center"/>
        <w:rPr>
          <w:rFonts w:ascii="宋体" w:hAnsi="宋体"/>
          <w:b/>
          <w:sz w:val="32"/>
          <w:szCs w:val="32"/>
        </w:rPr>
      </w:pPr>
      <w:r>
        <w:rPr>
          <w:rFonts w:hint="eastAsia" w:ascii="宋体" w:hAnsi="宋体"/>
          <w:b/>
          <w:sz w:val="32"/>
          <w:szCs w:val="32"/>
        </w:rPr>
        <w:t>四、书面声明</w:t>
      </w:r>
    </w:p>
    <w:p>
      <w:pPr>
        <w:spacing w:line="460" w:lineRule="exact"/>
        <w:jc w:val="left"/>
        <w:rPr>
          <w:rFonts w:ascii="宋体" w:hAnsi="宋体"/>
          <w:sz w:val="24"/>
          <w:szCs w:val="24"/>
          <w:u w:val="single"/>
        </w:rPr>
      </w:pPr>
    </w:p>
    <w:p>
      <w:pPr>
        <w:spacing w:line="420" w:lineRule="exact"/>
        <w:jc w:val="left"/>
        <w:rPr>
          <w:rFonts w:ascii="宋体" w:hAnsi="宋体"/>
          <w:sz w:val="24"/>
          <w:szCs w:val="24"/>
        </w:rPr>
      </w:pPr>
      <w:r>
        <w:rPr>
          <w:rFonts w:ascii="宋体" w:hAnsi="宋体"/>
          <w:sz w:val="24"/>
          <w:szCs w:val="24"/>
        </w:rPr>
        <w:t>比选人名称：</w:t>
      </w:r>
    </w:p>
    <w:p>
      <w:pPr>
        <w:spacing w:line="420" w:lineRule="exact"/>
        <w:ind w:firstLine="480" w:firstLineChars="200"/>
        <w:jc w:val="left"/>
        <w:rPr>
          <w:rFonts w:cs="宋体" w:asciiTheme="minorEastAsia" w:hAnsiTheme="minorEastAsia" w:eastAsiaTheme="minorEastAsia"/>
          <w:sz w:val="24"/>
          <w:szCs w:val="24"/>
        </w:rPr>
      </w:pPr>
      <w:r>
        <w:rPr>
          <w:rFonts w:asciiTheme="minorEastAsia" w:hAnsiTheme="minorEastAsia"/>
          <w:sz w:val="24"/>
          <w:szCs w:val="24"/>
        </w:rPr>
        <w:t>我方已仔细研究了（项目名称）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我方承诺在</w:t>
      </w:r>
      <w:r>
        <w:rPr>
          <w:rFonts w:hint="eastAsia" w:cs="宋体" w:asciiTheme="minorEastAsia" w:hAnsiTheme="minorEastAsia" w:eastAsiaTheme="minorEastAsia"/>
          <w:sz w:val="24"/>
          <w:szCs w:val="24"/>
        </w:rPr>
        <w:t>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rPr>
        <w:t>20年7月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日至今），在经营活动中没有重大违法记录，未</w:t>
      </w:r>
      <w:r>
        <w:rPr>
          <w:rFonts w:hint="eastAsia" w:asciiTheme="minorEastAsia" w:hAnsiTheme="minorEastAsia" w:eastAsiaTheme="minorEastAsia"/>
          <w:sz w:val="24"/>
          <w:szCs w:val="24"/>
        </w:rPr>
        <w:t>列入失信被执行人、重大税收违法案件当事人名单、无政府采购严重违法失信行为记录，且在人员、设备、资金、技术等方面具有相应的能力。</w:t>
      </w:r>
      <w:r>
        <w:rPr>
          <w:rFonts w:hint="eastAsia" w:cs="宋体" w:asciiTheme="minorEastAsia" w:hAnsiTheme="minorEastAsia" w:eastAsiaTheme="minorEastAsia"/>
          <w:sz w:val="24"/>
          <w:szCs w:val="24"/>
        </w:rPr>
        <w:t>若承诺与实事不符合，愿意承担相应责任。</w:t>
      </w:r>
    </w:p>
    <w:p>
      <w:pPr>
        <w:pStyle w:val="6"/>
        <w:spacing w:line="420" w:lineRule="exact"/>
      </w:pPr>
    </w:p>
    <w:p>
      <w:pPr>
        <w:pStyle w:val="6"/>
        <w:spacing w:line="420" w:lineRule="exact"/>
      </w:pPr>
    </w:p>
    <w:p>
      <w:pPr>
        <w:pStyle w:val="6"/>
        <w:spacing w:line="420" w:lineRule="exact"/>
      </w:pPr>
    </w:p>
    <w:p>
      <w:pPr>
        <w:pStyle w:val="6"/>
        <w:spacing w:line="420" w:lineRule="exact"/>
      </w:pPr>
    </w:p>
    <w:p>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kern w:val="0"/>
          <w:sz w:val="24"/>
          <w:szCs w:val="24"/>
        </w:rPr>
        <w:t>月日</w:t>
      </w:r>
    </w:p>
    <w:p>
      <w:pPr>
        <w:pStyle w:val="6"/>
      </w:pPr>
    </w:p>
    <w:p>
      <w:pPr>
        <w:pStyle w:val="6"/>
      </w:pPr>
    </w:p>
    <w:p>
      <w:pPr>
        <w:spacing w:line="276" w:lineRule="auto"/>
        <w:rPr>
          <w:rFonts w:ascii="宋体" w:hAnsi="宋体" w:cs="宋体"/>
          <w:b/>
          <w:bCs/>
          <w:sz w:val="28"/>
          <w:szCs w:val="28"/>
        </w:rPr>
      </w:pPr>
    </w:p>
    <w:p>
      <w:pPr>
        <w:pStyle w:val="6"/>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spacing w:line="276" w:lineRule="auto"/>
        <w:rPr>
          <w:rFonts w:ascii="宋体"/>
          <w:b/>
          <w:bCs/>
          <w:color w:val="000000"/>
          <w:sz w:val="28"/>
          <w:szCs w:val="28"/>
        </w:rPr>
      </w:pPr>
      <w:r>
        <w:rPr>
          <w:rFonts w:hint="eastAsia" w:ascii="宋体"/>
          <w:b/>
          <w:bCs/>
          <w:color w:val="000000"/>
          <w:sz w:val="28"/>
          <w:szCs w:val="28"/>
        </w:rPr>
        <w:t>五、资质材料。</w:t>
      </w:r>
    </w:p>
    <w:p>
      <w:pPr>
        <w:spacing w:line="276" w:lineRule="auto"/>
        <w:rPr>
          <w:rFonts w:ascii="宋体"/>
          <w:b/>
          <w:bCs/>
          <w:color w:val="000000"/>
          <w:sz w:val="28"/>
          <w:szCs w:val="28"/>
        </w:rPr>
      </w:pPr>
      <w:r>
        <w:rPr>
          <w:rFonts w:hint="eastAsia" w:ascii="宋体"/>
          <w:b/>
          <w:bCs/>
          <w:color w:val="000000"/>
          <w:sz w:val="28"/>
          <w:szCs w:val="28"/>
        </w:rPr>
        <w:t>六、响应方案。</w:t>
      </w:r>
    </w:p>
    <w:p>
      <w:pPr>
        <w:spacing w:line="276" w:lineRule="auto"/>
        <w:rPr>
          <w:rFonts w:ascii="宋体"/>
          <w:b/>
          <w:bCs/>
          <w:color w:val="000000"/>
          <w:sz w:val="28"/>
          <w:szCs w:val="28"/>
        </w:rPr>
      </w:pPr>
      <w:r>
        <w:rPr>
          <w:rFonts w:hint="eastAsia" w:ascii="宋体"/>
          <w:b/>
          <w:bCs/>
          <w:color w:val="000000"/>
          <w:sz w:val="28"/>
          <w:szCs w:val="28"/>
        </w:rPr>
        <w:t>七、其它须说明材料。</w:t>
      </w:r>
    </w:p>
    <w:p>
      <w:pPr>
        <w:spacing w:line="276" w:lineRule="auto"/>
        <w:rPr>
          <w:rFonts w:ascii="宋体"/>
          <w:b/>
          <w:bCs/>
          <w:color w:val="000000"/>
          <w:sz w:val="28"/>
          <w:szCs w:val="28"/>
        </w:rPr>
      </w:pPr>
      <w:r>
        <w:rPr>
          <w:rFonts w:hint="eastAsia" w:ascii="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cs="宋体"/>
      </w:rPr>
      <w:t>第</w:t>
    </w:r>
    <w:r>
      <w:fldChar w:fldCharType="begin"/>
    </w:r>
    <w:r>
      <w:instrText xml:space="preserve"> PAGE   \* MERGEFORMAT </w:instrText>
    </w:r>
    <w:r>
      <w:fldChar w:fldCharType="separate"/>
    </w:r>
    <w:r>
      <w:rPr>
        <w:lang w:val="zh-CN"/>
      </w:rPr>
      <w:t>9</w:t>
    </w:r>
    <w:r>
      <w:rPr>
        <w:lang w:val="zh-CN"/>
      </w:rPr>
      <w:fldChar w:fldCharType="end"/>
    </w:r>
    <w:r>
      <w:rPr>
        <w:rFonts w:hint="eastAsia" w:cs="宋体"/>
      </w:rPr>
      <w:t>页，共</w:t>
    </w:r>
    <w:r>
      <w:rPr>
        <w:rFonts w:hint="eastAsia"/>
      </w:rPr>
      <w:t>18</w:t>
    </w:r>
    <w:r>
      <w:rPr>
        <w:rFonts w:hint="eastAsia" w:cs="宋体"/>
      </w:rPr>
      <w:t>页</w: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14AD6"/>
    <w:multiLevelType w:val="singleLevel"/>
    <w:tmpl w:val="C9514A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JkOGE1MzQ3ZGZhODFhNGY0YzQzZDVmMWMxNjBkNGIifQ=="/>
  </w:docVars>
  <w:rsids>
    <w:rsidRoot w:val="001E0DAD"/>
    <w:rsid w:val="00013FCB"/>
    <w:rsid w:val="00026C12"/>
    <w:rsid w:val="00037050"/>
    <w:rsid w:val="00047B31"/>
    <w:rsid w:val="00085533"/>
    <w:rsid w:val="000A42BE"/>
    <w:rsid w:val="0016542B"/>
    <w:rsid w:val="001803AF"/>
    <w:rsid w:val="0018304E"/>
    <w:rsid w:val="001A68B3"/>
    <w:rsid w:val="001E0DAD"/>
    <w:rsid w:val="0020091A"/>
    <w:rsid w:val="002407DB"/>
    <w:rsid w:val="00275F5D"/>
    <w:rsid w:val="00281D39"/>
    <w:rsid w:val="002A708B"/>
    <w:rsid w:val="002D53CD"/>
    <w:rsid w:val="002D56FE"/>
    <w:rsid w:val="003F1CCF"/>
    <w:rsid w:val="00416E15"/>
    <w:rsid w:val="005615C0"/>
    <w:rsid w:val="00583E33"/>
    <w:rsid w:val="005848C4"/>
    <w:rsid w:val="005B5292"/>
    <w:rsid w:val="00636E6D"/>
    <w:rsid w:val="0065107E"/>
    <w:rsid w:val="006C2D73"/>
    <w:rsid w:val="00734257"/>
    <w:rsid w:val="00774D86"/>
    <w:rsid w:val="00786C6F"/>
    <w:rsid w:val="007B459E"/>
    <w:rsid w:val="007C1C36"/>
    <w:rsid w:val="007C2782"/>
    <w:rsid w:val="008215EB"/>
    <w:rsid w:val="008C6715"/>
    <w:rsid w:val="00985A04"/>
    <w:rsid w:val="00986D05"/>
    <w:rsid w:val="00A54C46"/>
    <w:rsid w:val="00A72656"/>
    <w:rsid w:val="00A9005F"/>
    <w:rsid w:val="00B737D2"/>
    <w:rsid w:val="00BA404E"/>
    <w:rsid w:val="00BC3836"/>
    <w:rsid w:val="00BC5086"/>
    <w:rsid w:val="00BD6369"/>
    <w:rsid w:val="00BE5C99"/>
    <w:rsid w:val="00C87038"/>
    <w:rsid w:val="00CF276F"/>
    <w:rsid w:val="00DA1F4B"/>
    <w:rsid w:val="00DA6D33"/>
    <w:rsid w:val="00DB7FB6"/>
    <w:rsid w:val="00DD20BF"/>
    <w:rsid w:val="00E27124"/>
    <w:rsid w:val="00E75E16"/>
    <w:rsid w:val="00ED68F1"/>
    <w:rsid w:val="00EF765F"/>
    <w:rsid w:val="1356649D"/>
    <w:rsid w:val="16B17D59"/>
    <w:rsid w:val="16BD3CB8"/>
    <w:rsid w:val="323B0F9A"/>
    <w:rsid w:val="38A94FE7"/>
    <w:rsid w:val="3D761C6E"/>
    <w:rsid w:val="47816AD6"/>
    <w:rsid w:val="4B8052C1"/>
    <w:rsid w:val="5A92474A"/>
    <w:rsid w:val="5D2E604E"/>
    <w:rsid w:val="612D6F2E"/>
    <w:rsid w:val="62FF3123"/>
    <w:rsid w:val="66981EFC"/>
    <w:rsid w:val="68324FDC"/>
    <w:rsid w:val="7149111D"/>
    <w:rsid w:val="73F06811"/>
    <w:rsid w:val="79E521E7"/>
    <w:rsid w:val="7B2552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cs="Cambria"/>
      <w:b/>
      <w:bCs/>
      <w:sz w:val="32"/>
      <w:szCs w:val="32"/>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napToGrid w:val="0"/>
      <w:spacing w:line="360" w:lineRule="auto"/>
      <w:ind w:firstLine="420"/>
    </w:pPr>
    <w:rPr>
      <w:sz w:val="24"/>
      <w:szCs w:val="20"/>
    </w:rPr>
  </w:style>
  <w:style w:type="paragraph" w:styleId="5">
    <w:name w:val="annotation text"/>
    <w:basedOn w:val="1"/>
    <w:link w:val="19"/>
    <w:qFormat/>
    <w:uiPriority w:val="0"/>
    <w:pPr>
      <w:jc w:val="left"/>
    </w:pPr>
  </w:style>
  <w:style w:type="paragraph" w:styleId="6">
    <w:name w:val="Body Text"/>
    <w:basedOn w:val="1"/>
    <w:qFormat/>
    <w:uiPriority w:val="99"/>
    <w:rPr>
      <w:rFonts w:ascii="宋体" w:hAnsi="宋体" w:cs="宋体"/>
      <w:sz w:val="28"/>
      <w:szCs w:val="28"/>
    </w:rPr>
  </w:style>
  <w:style w:type="paragraph" w:styleId="7">
    <w:name w:val="Body Text Indent"/>
    <w:basedOn w:val="1"/>
    <w:qFormat/>
    <w:uiPriority w:val="99"/>
    <w:pPr>
      <w:spacing w:after="120"/>
      <w:ind w:left="420" w:leftChars="200"/>
    </w:pPr>
  </w:style>
  <w:style w:type="paragraph" w:styleId="8">
    <w:name w:val="Balloon Text"/>
    <w:basedOn w:val="1"/>
    <w:link w:val="21"/>
    <w:qFormat/>
    <w:uiPriority w:val="0"/>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20"/>
    <w:qFormat/>
    <w:uiPriority w:val="0"/>
    <w:rPr>
      <w:b/>
      <w:bCs/>
    </w:rPr>
  </w:style>
  <w:style w:type="paragraph" w:styleId="12">
    <w:name w:val="Body Text First Indent 2"/>
    <w:basedOn w:val="7"/>
    <w:qFormat/>
    <w:uiPriority w:val="99"/>
    <w:pPr>
      <w:ind w:firstLine="420" w:firstLineChars="200"/>
    </w:pPr>
  </w:style>
  <w:style w:type="character" w:styleId="15">
    <w:name w:val="Hyperlink"/>
    <w:basedOn w:val="14"/>
    <w:qFormat/>
    <w:uiPriority w:val="0"/>
    <w:rPr>
      <w:color w:val="0563C1" w:themeColor="hyperlink"/>
      <w:u w:val="single"/>
    </w:rPr>
  </w:style>
  <w:style w:type="character" w:styleId="16">
    <w:name w:val="annotation reference"/>
    <w:basedOn w:val="14"/>
    <w:qFormat/>
    <w:uiPriority w:val="99"/>
    <w:rPr>
      <w:sz w:val="21"/>
      <w:szCs w:val="21"/>
    </w:rPr>
  </w:style>
  <w:style w:type="paragraph" w:styleId="17">
    <w:name w:val="List Paragraph"/>
    <w:basedOn w:val="1"/>
    <w:qFormat/>
    <w:uiPriority w:val="34"/>
    <w:pPr>
      <w:ind w:firstLine="420" w:firstLineChars="200"/>
    </w:pPr>
    <w:rPr>
      <w:szCs w:val="24"/>
    </w:rPr>
  </w:style>
  <w:style w:type="paragraph" w:customStyle="1" w:styleId="18">
    <w:name w:val="图例"/>
    <w:basedOn w:val="1"/>
    <w:qFormat/>
    <w:uiPriority w:val="0"/>
    <w:pPr>
      <w:spacing w:before="120" w:after="120" w:line="360" w:lineRule="auto"/>
      <w:jc w:val="center"/>
    </w:pPr>
    <w:rPr>
      <w:rFonts w:eastAsia="仿宋_GB2312"/>
      <w:b/>
      <w:sz w:val="24"/>
      <w:szCs w:val="20"/>
    </w:rPr>
  </w:style>
  <w:style w:type="character" w:customStyle="1" w:styleId="19">
    <w:name w:val="批注文字 Char"/>
    <w:basedOn w:val="14"/>
    <w:link w:val="5"/>
    <w:qFormat/>
    <w:uiPriority w:val="0"/>
    <w:rPr>
      <w:rFonts w:ascii="Times New Roman" w:hAnsi="Times New Roman" w:eastAsia="宋体" w:cs="Times New Roman"/>
      <w:kern w:val="2"/>
      <w:sz w:val="21"/>
      <w:szCs w:val="21"/>
    </w:rPr>
  </w:style>
  <w:style w:type="character" w:customStyle="1" w:styleId="20">
    <w:name w:val="批注主题 Char"/>
    <w:basedOn w:val="19"/>
    <w:link w:val="11"/>
    <w:qFormat/>
    <w:uiPriority w:val="0"/>
    <w:rPr>
      <w:rFonts w:ascii="Times New Roman" w:hAnsi="Times New Roman" w:eastAsia="宋体" w:cs="Times New Roman"/>
      <w:b/>
      <w:bCs/>
      <w:kern w:val="2"/>
      <w:sz w:val="21"/>
      <w:szCs w:val="21"/>
    </w:rPr>
  </w:style>
  <w:style w:type="character" w:customStyle="1" w:styleId="21">
    <w:name w:val="批注框文本 Char"/>
    <w:basedOn w:val="14"/>
    <w:link w:val="8"/>
    <w:qFormat/>
    <w:uiPriority w:val="0"/>
    <w:rPr>
      <w:rFonts w:ascii="Times New Roman" w:hAnsi="Times New Roman" w:eastAsia="宋体" w:cs="Times New Roman"/>
      <w:kern w:val="2"/>
      <w:sz w:val="18"/>
      <w:szCs w:val="18"/>
    </w:rPr>
  </w:style>
  <w:style w:type="paragraph" w:customStyle="1" w:styleId="22">
    <w:name w:val="正文_19"/>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19</Pages>
  <Words>1228</Words>
  <Characters>7005</Characters>
  <Lines>58</Lines>
  <Paragraphs>16</Paragraphs>
  <TotalTime>0</TotalTime>
  <ScaleCrop>false</ScaleCrop>
  <LinksUpToDate>false</LinksUpToDate>
  <CharactersWithSpaces>8217</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2023-09-21T00:28:00Z</dcterms:created>
  <dc:creator>Administrator</dc:creator>
  <cp:lastModifiedBy>QY~勇</cp:lastModifiedBy>
  <dcterms:modified xsi:type="dcterms:W3CDTF">2023-09-22T07:39:12Z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688FDB0D37CB409B822C1B2D08868A43_12</vt:lpwstr>
  </property>
</Properties>
</file>