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spacing w:line="800" w:lineRule="exact"/>
        <w:jc w:val="center"/>
        <w:rPr>
          <w:rFonts w:hint="default" w:eastAsia="宋体"/>
          <w:sz w:val="30"/>
          <w:szCs w:val="30"/>
          <w:u w:val="single"/>
          <w:lang w:val="en-US" w:eastAsia="zh-CN"/>
        </w:rPr>
      </w:pPr>
      <w:r>
        <w:rPr>
          <w:rFonts w:hint="eastAsia"/>
          <w:b/>
          <w:sz w:val="30"/>
          <w:szCs w:val="30"/>
        </w:rPr>
        <w:t>项目名称：</w:t>
      </w:r>
      <w:r>
        <w:rPr>
          <w:rFonts w:hint="eastAsia"/>
          <w:b/>
          <w:sz w:val="30"/>
          <w:szCs w:val="30"/>
          <w:u w:val="single"/>
          <w:lang w:val="en-US" w:eastAsia="zh-CN"/>
        </w:rPr>
        <w:t xml:space="preserve"> </w:t>
      </w:r>
      <w:r>
        <w:rPr>
          <w:rFonts w:hint="eastAsia"/>
          <w:b/>
          <w:sz w:val="30"/>
          <w:szCs w:val="30"/>
          <w:u w:val="single"/>
        </w:rPr>
        <w:t>2024-2026年度信息中心基础设施备品备件项目</w:t>
      </w:r>
      <w:r>
        <w:rPr>
          <w:rFonts w:hint="eastAsia"/>
          <w:b/>
          <w:sz w:val="30"/>
          <w:szCs w:val="30"/>
          <w:u w:val="single"/>
          <w:lang w:eastAsia="zh-CN"/>
        </w:rPr>
        <w:t>（</w:t>
      </w:r>
      <w:r>
        <w:rPr>
          <w:rFonts w:hint="eastAsia"/>
          <w:b/>
          <w:sz w:val="30"/>
          <w:szCs w:val="30"/>
          <w:u w:val="single"/>
          <w:lang w:val="en-US" w:eastAsia="zh-CN"/>
        </w:rPr>
        <w:t>第二次）</w:t>
      </w:r>
    </w:p>
    <w:p>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sz w:val="28"/>
          <w:szCs w:val="28"/>
          <w:u w:val="single"/>
        </w:rPr>
        <w:t>CGZYYCG202</w:t>
      </w:r>
      <w:r>
        <w:rPr>
          <w:rFonts w:hint="eastAsia"/>
          <w:sz w:val="28"/>
          <w:szCs w:val="28"/>
          <w:u w:val="single"/>
        </w:rPr>
        <w:t xml:space="preserve">403  </w:t>
      </w:r>
      <w:r>
        <w:rPr>
          <w:rFonts w:hint="eastAsia"/>
          <w:sz w:val="28"/>
          <w:szCs w:val="28"/>
        </w:rPr>
        <w:t>）</w:t>
      </w:r>
    </w:p>
    <w:p>
      <w:pPr>
        <w:jc w:val="left"/>
      </w:pPr>
    </w:p>
    <w:p>
      <w:pPr>
        <w:jc w:val="left"/>
      </w:pPr>
    </w:p>
    <w:p>
      <w:pPr>
        <w:jc w:val="left"/>
      </w:pPr>
    </w:p>
    <w:p>
      <w:pPr>
        <w:jc w:val="left"/>
      </w:pPr>
    </w:p>
    <w:p>
      <w:pPr>
        <w:jc w:val="left"/>
      </w:pPr>
    </w:p>
    <w:p>
      <w:pPr>
        <w:jc w:val="left"/>
      </w:pPr>
    </w:p>
    <w:p>
      <w:pPr>
        <w:jc w:val="left"/>
      </w:pPr>
    </w:p>
    <w:p>
      <w:pPr>
        <w:jc w:val="left"/>
      </w:pPr>
    </w:p>
    <w:p>
      <w:pPr>
        <w:jc w:val="center"/>
        <w:rPr>
          <w:b/>
          <w:sz w:val="48"/>
          <w:szCs w:val="48"/>
        </w:rPr>
      </w:pPr>
      <w:r>
        <w:rPr>
          <w:rFonts w:hint="eastAsia"/>
          <w:b/>
          <w:sz w:val="48"/>
          <w:szCs w:val="48"/>
        </w:rPr>
        <w:t>竞争性比选文件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jc w:val="center"/>
        <w:rPr>
          <w:rFonts w:ascii="宋体" w:hAnsi="宋体"/>
          <w:sz w:val="28"/>
          <w:szCs w:val="28"/>
        </w:rPr>
      </w:pPr>
      <w:r>
        <w:rPr>
          <w:rFonts w:hint="eastAsia" w:ascii="宋体" w:hAnsi="宋体"/>
          <w:sz w:val="28"/>
          <w:szCs w:val="28"/>
        </w:rPr>
        <w:t>项目业主：</w:t>
      </w:r>
      <w:r>
        <w:rPr>
          <w:rFonts w:hint="eastAsia" w:ascii="宋体" w:hAnsi="宋体"/>
          <w:sz w:val="28"/>
          <w:szCs w:val="28"/>
          <w:u w:val="single"/>
        </w:rPr>
        <w:t xml:space="preserve">    重钢总医院    </w:t>
      </w:r>
    </w:p>
    <w:p>
      <w:pPr>
        <w:spacing w:line="800" w:lineRule="exact"/>
        <w:jc w:val="center"/>
        <w:rPr>
          <w:rFonts w:ascii="宋体" w:hAnsi="宋体"/>
          <w:sz w:val="28"/>
          <w:szCs w:val="28"/>
        </w:rPr>
      </w:pPr>
      <w:r>
        <w:rPr>
          <w:rFonts w:hint="eastAsia" w:ascii="宋体" w:hAnsi="宋体"/>
          <w:sz w:val="28"/>
          <w:szCs w:val="28"/>
        </w:rPr>
        <w:t>2024年1月</w:t>
      </w:r>
      <w:r>
        <w:rPr>
          <w:rFonts w:hint="eastAsia" w:ascii="宋体" w:hAnsi="宋体"/>
          <w:sz w:val="28"/>
          <w:szCs w:val="28"/>
          <w:lang w:val="en-US" w:eastAsia="zh-CN"/>
        </w:rPr>
        <w:t>30</w:t>
      </w:r>
      <w:bookmarkStart w:id="3" w:name="_GoBack"/>
      <w:bookmarkEnd w:id="3"/>
      <w:r>
        <w:rPr>
          <w:rFonts w:hint="eastAsia" w:ascii="宋体" w:hAnsi="宋体"/>
          <w:sz w:val="28"/>
          <w:szCs w:val="28"/>
        </w:rPr>
        <w:t>日</w:t>
      </w:r>
    </w:p>
    <w:p>
      <w:pPr>
        <w:jc w:val="left"/>
      </w:pPr>
    </w:p>
    <w:p>
      <w:pPr>
        <w:jc w:val="left"/>
      </w:pPr>
    </w:p>
    <w:p>
      <w:pPr>
        <w:jc w:val="left"/>
      </w:pPr>
    </w:p>
    <w:p>
      <w:pPr>
        <w:jc w:val="left"/>
      </w:pPr>
    </w:p>
    <w:p>
      <w:pPr>
        <w:jc w:val="left"/>
      </w:pPr>
    </w:p>
    <w:p>
      <w:pPr>
        <w:jc w:val="left"/>
      </w:pPr>
    </w:p>
    <w:p>
      <w:pPr>
        <w:jc w:val="left"/>
      </w:pPr>
    </w:p>
    <w:p>
      <w:pPr>
        <w:spacing w:line="400" w:lineRule="exact"/>
        <w:rPr>
          <w:rFonts w:ascii="宋体" w:cs="宋体"/>
          <w:b/>
          <w:bCs/>
        </w:rPr>
        <w:sectPr>
          <w:headerReference r:id="rId5" w:type="first"/>
          <w:footerReference r:id="rId8" w:type="first"/>
          <w:headerReference r:id="rId3" w:type="default"/>
          <w:footerReference r:id="rId6" w:type="default"/>
          <w:headerReference r:id="rId4" w:type="even"/>
          <w:footerReference r:id="rId7" w:type="even"/>
          <w:pgSz w:w="11906" w:h="16838"/>
          <w:pgMar w:top="1276" w:right="1274" w:bottom="1135" w:left="1134" w:header="851" w:footer="992" w:gutter="0"/>
          <w:pgNumType w:start="1"/>
          <w:cols w:space="720" w:num="1"/>
          <w:titlePg/>
          <w:docGrid w:type="lines" w:linePitch="312" w:charSpace="0"/>
        </w:sectPr>
      </w:pPr>
    </w:p>
    <w:p>
      <w:pPr>
        <w:spacing w:line="420" w:lineRule="exact"/>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第一章</w:t>
      </w:r>
      <w:r>
        <w:rPr>
          <w:rFonts w:hint="eastAsia" w:cs="宋体" w:asciiTheme="minorEastAsia" w:hAnsiTheme="minorEastAsia" w:eastAsiaTheme="minorEastAsia"/>
          <w:b/>
          <w:bCs/>
          <w:sz w:val="24"/>
          <w:szCs w:val="24"/>
          <w:u w:val="single"/>
        </w:rPr>
        <w:t xml:space="preserve">   2024-2026年度信息中心基础设施备品备件项目</w:t>
      </w:r>
      <w:r>
        <w:rPr>
          <w:rFonts w:hint="eastAsia" w:cs="宋体" w:asciiTheme="minorEastAsia" w:hAnsiTheme="minorEastAsia" w:eastAsiaTheme="minorEastAsia"/>
          <w:b/>
          <w:bCs/>
          <w:sz w:val="24"/>
          <w:szCs w:val="24"/>
          <w:u w:val="single"/>
          <w:lang w:eastAsia="zh-CN"/>
        </w:rPr>
        <w:t>（</w:t>
      </w:r>
      <w:r>
        <w:rPr>
          <w:rFonts w:hint="eastAsia" w:cs="宋体" w:asciiTheme="minorEastAsia" w:hAnsiTheme="minorEastAsia" w:eastAsiaTheme="minorEastAsia"/>
          <w:b/>
          <w:bCs/>
          <w:sz w:val="24"/>
          <w:szCs w:val="24"/>
          <w:u w:val="single"/>
          <w:lang w:val="en-US" w:eastAsia="zh-CN"/>
        </w:rPr>
        <w:t>第二次）</w:t>
      </w:r>
      <w:r>
        <w:rPr>
          <w:rFonts w:hint="eastAsia" w:cs="宋体" w:asciiTheme="minorEastAsia" w:hAnsiTheme="minorEastAsia" w:eastAsiaTheme="minorEastAsia"/>
          <w:b/>
          <w:bCs/>
          <w:sz w:val="24"/>
          <w:szCs w:val="24"/>
          <w:u w:val="single"/>
        </w:rPr>
        <w:t xml:space="preserve">   </w:t>
      </w:r>
      <w:r>
        <w:rPr>
          <w:rFonts w:hint="eastAsia" w:cs="宋体" w:asciiTheme="minorEastAsia" w:hAnsiTheme="minorEastAsia" w:eastAsiaTheme="minorEastAsia"/>
          <w:b/>
          <w:bCs/>
          <w:sz w:val="24"/>
          <w:szCs w:val="24"/>
        </w:rPr>
        <w:t>比选公告</w:t>
      </w:r>
    </w:p>
    <w:p>
      <w:pPr>
        <w:spacing w:line="420" w:lineRule="exact"/>
        <w:ind w:firstLine="480" w:firstLineChars="200"/>
        <w:jc w:val="left"/>
        <w:rPr>
          <w:rFonts w:cs="宋体" w:asciiTheme="minorEastAsia" w:hAnsiTheme="minorEastAsia" w:eastAsiaTheme="minorEastAsia"/>
          <w:sz w:val="24"/>
          <w:szCs w:val="24"/>
        </w:rPr>
      </w:pPr>
    </w:p>
    <w:p>
      <w:pPr>
        <w:spacing w:line="42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重钢总医院拟对2024-2026年度信息中心基础设施备品备件项目进行比选。欢迎有合法资质的单位前来参选。</w:t>
      </w:r>
    </w:p>
    <w:p>
      <w:pPr>
        <w:spacing w:line="420" w:lineRule="exact"/>
        <w:ind w:firstLine="482"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一、项目名称</w:t>
      </w:r>
      <w:r>
        <w:rPr>
          <w:rFonts w:hint="eastAsia" w:cs="宋体" w:asciiTheme="minorEastAsia" w:hAnsiTheme="minorEastAsia" w:eastAsiaTheme="minorEastAsia"/>
          <w:sz w:val="24"/>
          <w:szCs w:val="24"/>
        </w:rPr>
        <w:t>：2024-2026年度信息中心基础设施备品备件项目</w:t>
      </w:r>
    </w:p>
    <w:p>
      <w:pPr>
        <w:spacing w:line="420" w:lineRule="exact"/>
        <w:ind w:firstLine="482"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
          <w:bCs/>
          <w:sz w:val="24"/>
          <w:szCs w:val="24"/>
        </w:rPr>
        <w:t>二、项目地点：</w:t>
      </w:r>
      <w:r>
        <w:rPr>
          <w:rFonts w:hint="eastAsia" w:cs="宋体" w:asciiTheme="minorEastAsia" w:hAnsiTheme="minorEastAsia" w:eastAsiaTheme="minorEastAsia"/>
          <w:bCs/>
          <w:sz w:val="24"/>
          <w:szCs w:val="24"/>
        </w:rPr>
        <w:t>重庆市大渡口区大堰三村特1号</w:t>
      </w:r>
    </w:p>
    <w:p>
      <w:pPr>
        <w:spacing w:line="420" w:lineRule="exact"/>
        <w:ind w:firstLine="482"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
          <w:bCs/>
          <w:sz w:val="24"/>
          <w:szCs w:val="24"/>
        </w:rPr>
        <w:t>三、服务周期</w:t>
      </w:r>
      <w:r>
        <w:rPr>
          <w:rFonts w:hint="eastAsia" w:cs="宋体" w:asciiTheme="minorEastAsia" w:hAnsiTheme="minorEastAsia" w:eastAsiaTheme="minorEastAsia"/>
          <w:bCs/>
          <w:sz w:val="24"/>
          <w:szCs w:val="24"/>
        </w:rPr>
        <w:t>：3年</w:t>
      </w:r>
      <w:r>
        <w:rPr>
          <w:rFonts w:hint="eastAsia" w:ascii="宋体" w:hAnsi="宋体" w:cs="宋体"/>
          <w:bCs/>
          <w:szCs w:val="24"/>
        </w:rPr>
        <w:t>。</w:t>
      </w:r>
    </w:p>
    <w:p>
      <w:pPr>
        <w:spacing w:line="42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四、资格要求</w:t>
      </w:r>
      <w:r>
        <w:rPr>
          <w:rFonts w:hint="eastAsia" w:cs="宋体" w:asciiTheme="minorEastAsia" w:hAnsiTheme="minorEastAsia" w:eastAsiaTheme="minorEastAsia"/>
          <w:sz w:val="24"/>
          <w:szCs w:val="24"/>
        </w:rPr>
        <w:t>：</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w:t>
      </w:r>
      <w:r>
        <w:rPr>
          <w:rFonts w:hint="eastAsia" w:cs="宋体" w:asciiTheme="minorEastAsia" w:hAnsiTheme="minorEastAsia" w:eastAsiaTheme="minorEastAsia"/>
          <w:bCs/>
          <w:sz w:val="24"/>
          <w:szCs w:val="24"/>
        </w:rPr>
        <w:t>具有独立承担民事责任的能力</w:t>
      </w:r>
      <w:r>
        <w:rPr>
          <w:rFonts w:hint="eastAsia" w:cs="宋体" w:asciiTheme="minorEastAsia" w:hAnsiTheme="minorEastAsia" w:eastAsiaTheme="minorEastAsia"/>
          <w:sz w:val="24"/>
          <w:szCs w:val="24"/>
        </w:rPr>
        <w:t>，具有工商行政主管部门核发的有效工商营业执照，并在人员、设备、资金等方面具有相应的能力。（提供加盖响应人鲜章的营业执照复印件）。</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（二）参加采购活动前三年内，（指</w:t>
      </w:r>
      <w:r>
        <w:rPr>
          <w:rFonts w:cs="宋体" w:asciiTheme="minorEastAsia" w:hAnsiTheme="minorEastAsia" w:eastAsiaTheme="minorEastAsia"/>
          <w:sz w:val="24"/>
          <w:szCs w:val="24"/>
        </w:rPr>
        <w:t>20</w:t>
      </w:r>
      <w:r>
        <w:rPr>
          <w:rFonts w:hint="eastAsia" w:cs="宋体" w:asciiTheme="minorEastAsia" w:hAnsiTheme="minorEastAsia" w:eastAsiaTheme="minorEastAsia"/>
          <w:sz w:val="24"/>
          <w:szCs w:val="24"/>
        </w:rPr>
        <w:t>21年</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月</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日至今），在经营活动中没有重大违法记录。</w:t>
      </w:r>
    </w:p>
    <w:p>
      <w:pPr>
        <w:spacing w:line="420" w:lineRule="exact"/>
        <w:ind w:firstLine="480" w:firstLineChars="200"/>
        <w:rPr>
          <w:rFonts w:cs="宋体" w:asciiTheme="minorEastAsia" w:hAnsiTheme="minorEastAsia" w:eastAsiaTheme="minorEastAsia"/>
          <w:sz w:val="24"/>
          <w:szCs w:val="24"/>
        </w:rPr>
      </w:pP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．响应人提供书面声明。</w:t>
      </w:r>
    </w:p>
    <w:p>
      <w:pPr>
        <w:spacing w:line="420" w:lineRule="exact"/>
        <w:ind w:firstLine="480" w:firstLineChars="200"/>
        <w:rPr>
          <w:rFonts w:cs="宋体" w:asciiTheme="minorEastAsia" w:hAnsiTheme="minorEastAsia" w:eastAsiaTheme="minorEastAsia"/>
          <w:sz w:val="24"/>
          <w:szCs w:val="24"/>
        </w:rPr>
      </w:pP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．响应人提供信用中国网站（</w:t>
      </w:r>
      <w:r>
        <w:fldChar w:fldCharType="begin"/>
      </w:r>
      <w:r>
        <w:instrText xml:space="preserve"> HYPERLINK "http://www.creditchina.gov.cn" </w:instrText>
      </w:r>
      <w:r>
        <w:fldChar w:fldCharType="separate"/>
      </w:r>
      <w:r>
        <w:rPr>
          <w:rFonts w:cs="宋体" w:asciiTheme="minorEastAsia" w:hAnsiTheme="minorEastAsia" w:eastAsiaTheme="minorEastAsia"/>
          <w:sz w:val="24"/>
          <w:szCs w:val="24"/>
        </w:rPr>
        <w:t>www.creditchina.gov.cn</w:t>
      </w:r>
      <w:r>
        <w:rPr>
          <w:rFonts w:cs="宋体" w:asciiTheme="minorEastAsia" w:hAnsiTheme="minorEastAsia" w:eastAsiaTheme="minorEastAsia"/>
          <w:sz w:val="24"/>
          <w:szCs w:val="24"/>
        </w:rPr>
        <w:fldChar w:fldCharType="end"/>
      </w:r>
      <w:r>
        <w:rPr>
          <w:rFonts w:hint="eastAsia" w:cs="宋体" w:asciiTheme="minorEastAsia" w:hAnsiTheme="minorEastAsia" w:eastAsiaTheme="minorEastAsia"/>
          <w:sz w:val="24"/>
          <w:szCs w:val="24"/>
        </w:rPr>
        <w:t>）以下内容的查询结果网页打印件（查询信息为响应人名称）</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“信用信息”查询结果。</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“失信被执行人”查询结果。</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“重大税收违法案件当事人名单”查询结果。</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“政府行政许可与行政处罚”查询结果。</w:t>
      </w:r>
    </w:p>
    <w:p>
      <w:pPr>
        <w:spacing w:line="420" w:lineRule="exact"/>
        <w:ind w:firstLine="480" w:firstLineChars="200"/>
        <w:rPr>
          <w:rFonts w:cs="宋体" w:asciiTheme="minorEastAsia" w:hAnsiTheme="minorEastAsia" w:eastAsiaTheme="minorEastAsia"/>
          <w:sz w:val="24"/>
          <w:szCs w:val="24"/>
        </w:rPr>
      </w:pP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．中国政府采购网（</w:t>
      </w:r>
      <w:r>
        <w:rPr>
          <w:rFonts w:cs="宋体" w:asciiTheme="minorEastAsia" w:hAnsiTheme="minorEastAsia" w:eastAsiaTheme="minorEastAsia"/>
          <w:sz w:val="24"/>
          <w:szCs w:val="24"/>
        </w:rPr>
        <w:t>www.ccgp.gov.cn</w:t>
      </w:r>
      <w:r>
        <w:rPr>
          <w:rFonts w:hint="eastAsia" w:cs="宋体" w:asciiTheme="minorEastAsia" w:hAnsiTheme="minorEastAsia" w:eastAsiaTheme="minorEastAsia"/>
          <w:sz w:val="24"/>
          <w:szCs w:val="24"/>
        </w:rPr>
        <w:t>）“政府采购严重违法失信行为记录名单”查询结果，提供查询结果网页打印件。</w:t>
      </w:r>
    </w:p>
    <w:p>
      <w:pPr>
        <w:spacing w:line="420" w:lineRule="exact"/>
        <w:ind w:firstLine="482" w:firstLineChars="20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以上查询时间为本项目采购公告发布之日起至响应文件递交截止时间前。</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（三）法律、行政法规规定的其他条件。</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（四）本次比选不接受联合体参与。</w:t>
      </w:r>
    </w:p>
    <w:p>
      <w:pPr>
        <w:spacing w:line="420" w:lineRule="exact"/>
        <w:ind w:firstLine="482" w:firstLineChars="200"/>
        <w:rPr>
          <w:rFonts w:ascii="宋体" w:hAnsi="宋体" w:cs="宋体"/>
          <w:sz w:val="24"/>
          <w:szCs w:val="24"/>
        </w:rPr>
      </w:pPr>
      <w:r>
        <w:rPr>
          <w:rFonts w:hint="eastAsia" w:cs="宋体" w:asciiTheme="minorEastAsia" w:hAnsiTheme="minorEastAsia" w:eastAsiaTheme="minorEastAsia"/>
          <w:b/>
          <w:bCs/>
          <w:sz w:val="24"/>
          <w:szCs w:val="24"/>
        </w:rPr>
        <w:t>五、现场踏勘</w:t>
      </w:r>
      <w:r>
        <w:rPr>
          <w:rFonts w:hint="eastAsia" w:cs="宋体" w:asciiTheme="minorEastAsia" w:hAnsiTheme="minorEastAsia" w:eastAsiaTheme="minorEastAsia"/>
          <w:sz w:val="24"/>
          <w:szCs w:val="24"/>
        </w:rPr>
        <w:t>：</w:t>
      </w:r>
      <w:r>
        <w:rPr>
          <w:rFonts w:hint="eastAsia" w:ascii="宋体" w:hAnsi="宋体" w:cs="宋体"/>
          <w:sz w:val="24"/>
          <w:szCs w:val="24"/>
        </w:rPr>
        <w:t>响应人应在截止比选前一日17:00前，至现场踏勘，并签署现场踏勘确认单，只有签署现场踏勘确认单的响应人才能参与比选。踏勘现场联系刘老师（023-81915051）</w:t>
      </w:r>
    </w:p>
    <w:p>
      <w:pPr>
        <w:spacing w:line="42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六、比选时间、地点及文件获取</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（一）比选文件发布时间：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4年1月</w:t>
      </w:r>
      <w:r>
        <w:rPr>
          <w:rFonts w:hint="eastAsia" w:cs="宋体" w:asciiTheme="minorEastAsia" w:hAnsiTheme="minorEastAsia" w:eastAsiaTheme="minorEastAsia"/>
          <w:sz w:val="24"/>
          <w:szCs w:val="24"/>
          <w:lang w:val="en-US" w:eastAsia="zh-CN"/>
        </w:rPr>
        <w:t>30</w:t>
      </w:r>
      <w:r>
        <w:rPr>
          <w:rFonts w:hint="eastAsia" w:cs="宋体" w:asciiTheme="minorEastAsia" w:hAnsiTheme="minorEastAsia" w:eastAsiaTheme="minorEastAsia"/>
          <w:sz w:val="24"/>
          <w:szCs w:val="24"/>
        </w:rPr>
        <w:t>日。</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（二）比选时间：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4年</w:t>
      </w:r>
      <w:r>
        <w:rPr>
          <w:rFonts w:hint="eastAsia" w:cs="宋体" w:asciiTheme="minorEastAsia" w:hAnsiTheme="minorEastAsia" w:eastAsiaTheme="minorEastAsia"/>
          <w:sz w:val="24"/>
          <w:szCs w:val="24"/>
          <w:lang w:val="en-US" w:eastAsia="zh-CN"/>
        </w:rPr>
        <w:t>2</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5</w:t>
      </w:r>
      <w:r>
        <w:rPr>
          <w:rFonts w:hint="eastAsia" w:cs="宋体" w:asciiTheme="minorEastAsia" w:hAnsiTheme="minorEastAsia" w:eastAsiaTheme="minorEastAsia"/>
          <w:sz w:val="24"/>
          <w:szCs w:val="24"/>
        </w:rPr>
        <w:t>日</w:t>
      </w:r>
      <w:r>
        <w:rPr>
          <w:rFonts w:hint="eastAsia" w:cs="宋体" w:asciiTheme="minorEastAsia" w:hAnsiTheme="minorEastAsia" w:eastAsiaTheme="minorEastAsia"/>
          <w:sz w:val="24"/>
          <w:szCs w:val="24"/>
          <w:lang w:val="en-US" w:eastAsia="zh-CN"/>
        </w:rPr>
        <w:t>下</w:t>
      </w:r>
      <w:r>
        <w:rPr>
          <w:rFonts w:hint="eastAsia" w:cs="宋体" w:asciiTheme="minorEastAsia" w:hAnsiTheme="minorEastAsia" w:eastAsiaTheme="minorEastAsia"/>
          <w:sz w:val="24"/>
          <w:szCs w:val="24"/>
        </w:rPr>
        <w:t>午</w:t>
      </w:r>
      <w:r>
        <w:rPr>
          <w:rFonts w:hint="eastAsia" w:cs="宋体" w:asciiTheme="minorEastAsia" w:hAnsiTheme="minorEastAsia" w:eastAsiaTheme="minorEastAsia"/>
          <w:sz w:val="24"/>
          <w:szCs w:val="24"/>
          <w:lang w:val="en-US" w:eastAsia="zh-CN"/>
        </w:rPr>
        <w:t>15</w:t>
      </w:r>
      <w:r>
        <w:rPr>
          <w:rFonts w:hint="eastAsia" w:cs="宋体" w:asciiTheme="minorEastAsia" w:hAnsiTheme="minorEastAsia" w:eastAsiaTheme="minorEastAsia"/>
          <w:sz w:val="24"/>
          <w:szCs w:val="24"/>
        </w:rPr>
        <w:t>：00时。</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（三）比选文件获取方式：重钢总医院官网（</w:t>
      </w:r>
      <w:r>
        <w:rPr>
          <w:rFonts w:cs="宋体" w:asciiTheme="minorEastAsia" w:hAnsiTheme="minorEastAsia" w:eastAsiaTheme="minorEastAsia"/>
          <w:sz w:val="24"/>
          <w:szCs w:val="24"/>
        </w:rPr>
        <w:t>http://www.cghospital.com.cn</w:t>
      </w:r>
      <w:r>
        <w:rPr>
          <w:rFonts w:hint="eastAsia" w:cs="宋体" w:asciiTheme="minorEastAsia" w:hAnsiTheme="minorEastAsia" w:eastAsiaTheme="minorEastAsia"/>
          <w:sz w:val="24"/>
          <w:szCs w:val="24"/>
        </w:rPr>
        <w:t>）。</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（四）响应文件递交截止时间：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4年</w:t>
      </w:r>
      <w:r>
        <w:rPr>
          <w:rFonts w:hint="eastAsia" w:cs="宋体" w:asciiTheme="minorEastAsia" w:hAnsiTheme="minorEastAsia" w:eastAsiaTheme="minorEastAsia"/>
          <w:sz w:val="24"/>
          <w:szCs w:val="24"/>
          <w:lang w:val="en-US" w:eastAsia="zh-CN"/>
        </w:rPr>
        <w:t>2</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5</w:t>
      </w:r>
      <w:r>
        <w:rPr>
          <w:rFonts w:hint="eastAsia" w:cs="宋体" w:asciiTheme="minorEastAsia" w:hAnsiTheme="minorEastAsia" w:eastAsiaTheme="minorEastAsia"/>
          <w:sz w:val="24"/>
          <w:szCs w:val="24"/>
        </w:rPr>
        <w:t>日</w:t>
      </w:r>
      <w:r>
        <w:rPr>
          <w:rFonts w:hint="eastAsia" w:cs="宋体" w:asciiTheme="minorEastAsia" w:hAnsiTheme="minorEastAsia" w:eastAsiaTheme="minorEastAsia"/>
          <w:sz w:val="24"/>
          <w:szCs w:val="24"/>
          <w:lang w:val="en-US" w:eastAsia="zh-CN"/>
        </w:rPr>
        <w:t>下</w:t>
      </w:r>
      <w:r>
        <w:rPr>
          <w:rFonts w:hint="eastAsia" w:cs="宋体" w:asciiTheme="minorEastAsia" w:hAnsiTheme="minorEastAsia" w:eastAsiaTheme="minorEastAsia"/>
          <w:sz w:val="24"/>
          <w:szCs w:val="24"/>
        </w:rPr>
        <w:t>午</w:t>
      </w:r>
      <w:r>
        <w:rPr>
          <w:rFonts w:hint="eastAsia" w:cs="宋体" w:asciiTheme="minorEastAsia" w:hAnsiTheme="minorEastAsia" w:eastAsiaTheme="minorEastAsia"/>
          <w:sz w:val="24"/>
          <w:szCs w:val="24"/>
          <w:lang w:val="en-US" w:eastAsia="zh-CN"/>
        </w:rPr>
        <w:t>15</w:t>
      </w:r>
      <w:r>
        <w:rPr>
          <w:rFonts w:hint="eastAsia" w:cs="宋体" w:asciiTheme="minorEastAsia" w:hAnsiTheme="minorEastAsia" w:eastAsiaTheme="minorEastAsia"/>
          <w:sz w:val="24"/>
          <w:szCs w:val="24"/>
        </w:rPr>
        <w:t>：00时。超过截止时间的恕不接受（现场递交响应文件）。如比选时间与比选方临时会议冲突，比选时间由比选方临时通知，响应文件递交截止时间以比选方临时通知为准。</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（五）响应文件递交地点：重钢总医院办公楼三楼一会议室。</w:t>
      </w:r>
    </w:p>
    <w:p>
      <w:pPr>
        <w:spacing w:line="420" w:lineRule="exact"/>
        <w:ind w:firstLine="482" w:firstLineChars="200"/>
        <w:rPr>
          <w:rFonts w:asciiTheme="minorEastAsia" w:hAnsiTheme="minorEastAsia" w:eastAsiaTheme="minorEastAsia"/>
          <w:sz w:val="24"/>
          <w:szCs w:val="24"/>
        </w:rPr>
      </w:pPr>
      <w:r>
        <w:rPr>
          <w:rFonts w:hint="eastAsia" w:cs="宋体" w:asciiTheme="minorEastAsia" w:hAnsiTheme="minorEastAsia" w:eastAsiaTheme="minorEastAsia"/>
          <w:b/>
          <w:bCs/>
          <w:sz w:val="24"/>
          <w:szCs w:val="24"/>
        </w:rPr>
        <w:t>七、联系人</w:t>
      </w:r>
    </w:p>
    <w:p>
      <w:pPr>
        <w:spacing w:line="42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比选人：重钢总医院地址：重庆市大渡口区</w:t>
      </w:r>
    </w:p>
    <w:p>
      <w:pPr>
        <w:spacing w:line="42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组织联系人：尹老师</w:t>
      </w:r>
      <w:r>
        <w:rPr>
          <w:rFonts w:hint="eastAsia" w:asciiTheme="minorEastAsia" w:hAnsiTheme="minorEastAsia" w:eastAsiaTheme="minorEastAsia"/>
          <w:sz w:val="24"/>
          <w:szCs w:val="24"/>
        </w:rPr>
        <w:t xml:space="preserve">           联系</w:t>
      </w:r>
      <w:r>
        <w:rPr>
          <w:rFonts w:hint="eastAsia" w:cs="宋体" w:asciiTheme="minorEastAsia" w:hAnsiTheme="minorEastAsia" w:eastAsiaTheme="minorEastAsia"/>
          <w:sz w:val="24"/>
          <w:szCs w:val="24"/>
        </w:rPr>
        <w:t>电话：</w:t>
      </w:r>
      <w:r>
        <w:rPr>
          <w:rFonts w:cs="宋体" w:asciiTheme="minorEastAsia" w:hAnsiTheme="minorEastAsia" w:eastAsiaTheme="minorEastAsia"/>
          <w:sz w:val="24"/>
          <w:szCs w:val="24"/>
        </w:rPr>
        <w:t xml:space="preserve">023-81915011  </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业务部门联系人：黄老师       联系电话：023-81915049</w:t>
      </w:r>
    </w:p>
    <w:p>
      <w:pPr>
        <w:spacing w:line="420" w:lineRule="exact"/>
        <w:ind w:firstLine="480" w:firstLineChars="200"/>
        <w:rPr>
          <w:rFonts w:cs="宋体" w:asciiTheme="minorEastAsia" w:hAnsiTheme="minorEastAsia" w:eastAsiaTheme="minorEastAsia"/>
          <w:sz w:val="24"/>
          <w:szCs w:val="24"/>
        </w:rPr>
      </w:pPr>
    </w:p>
    <w:p>
      <w:pPr>
        <w:spacing w:line="420" w:lineRule="exact"/>
        <w:ind w:firstLine="480" w:firstLineChars="200"/>
        <w:rPr>
          <w:rFonts w:cs="宋体" w:asciiTheme="minorEastAsia" w:hAnsiTheme="minorEastAsia" w:eastAsiaTheme="minorEastAsia"/>
          <w:sz w:val="24"/>
          <w:szCs w:val="24"/>
        </w:rPr>
      </w:pPr>
    </w:p>
    <w:p>
      <w:pPr>
        <w:spacing w:line="420" w:lineRule="exact"/>
        <w:ind w:firstLine="480" w:firstLineChars="200"/>
        <w:rPr>
          <w:rFonts w:cs="宋体"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spacing w:line="420" w:lineRule="exact"/>
        <w:jc w:val="center"/>
        <w:rPr>
          <w:rFonts w:asciiTheme="minorEastAsia" w:hAnsiTheme="minorEastAsia" w:eastAsiaTheme="minorEastAsia"/>
          <w:b/>
          <w:bCs/>
          <w:sz w:val="24"/>
          <w:szCs w:val="24"/>
        </w:rPr>
      </w:pPr>
      <w:r>
        <w:rPr>
          <w:rFonts w:hint="eastAsia" w:cs="宋体" w:asciiTheme="minorEastAsia" w:hAnsiTheme="minorEastAsia" w:eastAsiaTheme="minorEastAsia"/>
          <w:b/>
          <w:bCs/>
          <w:sz w:val="24"/>
          <w:szCs w:val="24"/>
        </w:rPr>
        <w:t>第二章响应人须知</w:t>
      </w:r>
    </w:p>
    <w:p>
      <w:pPr>
        <w:spacing w:line="420" w:lineRule="exact"/>
        <w:jc w:val="left"/>
        <w:rPr>
          <w:rFonts w:cs="宋体" w:asciiTheme="minorEastAsia" w:hAnsiTheme="minorEastAsia" w:eastAsiaTheme="minorEastAsia"/>
          <w:b/>
          <w:bCs/>
          <w:sz w:val="24"/>
          <w:szCs w:val="24"/>
        </w:rPr>
      </w:pPr>
    </w:p>
    <w:p>
      <w:pPr>
        <w:numPr>
          <w:ilvl w:val="0"/>
          <w:numId w:val="1"/>
        </w:numPr>
        <w:spacing w:line="420" w:lineRule="exact"/>
        <w:ind w:firstLine="482"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项目名称</w:t>
      </w:r>
      <w:r>
        <w:rPr>
          <w:rFonts w:hint="eastAsia" w:cs="宋体" w:asciiTheme="minorEastAsia" w:hAnsiTheme="minorEastAsia" w:eastAsiaTheme="minorEastAsia"/>
          <w:sz w:val="24"/>
          <w:szCs w:val="24"/>
        </w:rPr>
        <w:t>：2024-2026年度信息中心基础设施备品备件项目</w:t>
      </w:r>
    </w:p>
    <w:p>
      <w:pPr>
        <w:spacing w:line="420" w:lineRule="exact"/>
        <w:ind w:left="482"/>
        <w:jc w:val="left"/>
        <w:rPr>
          <w:rFonts w:ascii="宋体" w:hAnsi="宋体"/>
          <w:b/>
          <w:sz w:val="24"/>
          <w:szCs w:val="24"/>
        </w:rPr>
      </w:pPr>
      <w:r>
        <w:rPr>
          <w:rFonts w:hint="eastAsia" w:cs="宋体" w:asciiTheme="minorEastAsia" w:hAnsiTheme="minorEastAsia" w:eastAsiaTheme="minorEastAsia"/>
          <w:sz w:val="24"/>
          <w:szCs w:val="24"/>
        </w:rPr>
        <w:t>二、</w:t>
      </w:r>
      <w:r>
        <w:rPr>
          <w:rFonts w:hint="eastAsia" w:ascii="宋体" w:hAnsi="宋体"/>
          <w:b/>
          <w:sz w:val="24"/>
          <w:szCs w:val="24"/>
        </w:rPr>
        <w:t>产品技术参数要求</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3" w:type="dxa"/>
            <w:vAlign w:val="center"/>
          </w:tcPr>
          <w:p>
            <w:pPr>
              <w:snapToGrid w:val="0"/>
              <w:spacing w:line="400" w:lineRule="exact"/>
              <w:rPr>
                <w:rFonts w:asciiTheme="minorHAnsi" w:hAnsiTheme="minorHAnsi" w:eastAsiaTheme="minorEastAsia" w:cstheme="minorBidi"/>
              </w:rPr>
            </w:pPr>
            <w:r>
              <w:rPr>
                <w:rFonts w:hint="eastAsia" w:asciiTheme="minorHAnsi" w:hAnsiTheme="minorHAnsi" w:eastAsiaTheme="minorEastAsia" w:cstheme="minorBidi"/>
              </w:rPr>
              <w:t>1.服务质量管控：</w:t>
            </w:r>
            <w:r>
              <w:rPr>
                <w:rFonts w:hint="eastAsia" w:ascii="宋体" w:hAnsi="宋体" w:eastAsiaTheme="minorEastAsia" w:cstheme="minorBidi"/>
              </w:rPr>
              <w:t>维护过程中的所有元器件更换必须按原厂商、原规格、原型号替换的原则进行，所有的替代零配件必须是新的未使用和未经修复的，除非业主提供书面许可，不可使用其他品牌、型号的配件。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913" w:type="dxa"/>
            <w:vAlign w:val="center"/>
          </w:tcPr>
          <w:p>
            <w:pPr>
              <w:snapToGrid w:val="0"/>
              <w:spacing w:line="400" w:lineRule="exact"/>
              <w:rPr>
                <w:rFonts w:asciiTheme="minorHAnsi" w:hAnsiTheme="minorHAnsi" w:eastAsiaTheme="minorEastAsia" w:cstheme="minorBidi"/>
              </w:rPr>
            </w:pPr>
            <w:r>
              <w:rPr>
                <w:rFonts w:hint="eastAsia" w:asciiTheme="minorHAnsi" w:hAnsiTheme="minorHAnsi" w:eastAsiaTheme="minorEastAsia" w:cstheme="minorBidi"/>
              </w:rPr>
              <w:t>2.响应人</w:t>
            </w:r>
            <w:r>
              <w:rPr>
                <w:rFonts w:hint="eastAsia" w:ascii="宋体" w:hAnsi="宋体" w:eastAsiaTheme="minorEastAsia" w:cstheme="minorBidi"/>
              </w:rPr>
              <w:t>需提供伊顿原厂针对本项目的备品备件承诺函原件并加盖原厂鲜章。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913" w:type="dxa"/>
            <w:vAlign w:val="center"/>
          </w:tcPr>
          <w:p>
            <w:pPr>
              <w:snapToGrid w:val="0"/>
              <w:spacing w:line="400" w:lineRule="exact"/>
              <w:rPr>
                <w:rFonts w:asciiTheme="minorHAnsi" w:hAnsiTheme="minorHAnsi" w:eastAsiaTheme="minorEastAsia" w:cstheme="minorBidi"/>
              </w:rPr>
            </w:pPr>
            <w:r>
              <w:rPr>
                <w:rFonts w:hint="eastAsia" w:asciiTheme="minorHAnsi" w:hAnsiTheme="minorHAnsi" w:eastAsiaTheme="minorEastAsia" w:cstheme="minorBidi"/>
              </w:rPr>
              <w:t>3.服务响应要求：响应人应提供7*24小时服务热线，接到供货通知后，应在15分钟内响应；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913" w:type="dxa"/>
            <w:vAlign w:val="center"/>
          </w:tcPr>
          <w:p>
            <w:pPr>
              <w:snapToGrid w:val="0"/>
              <w:spacing w:line="400" w:lineRule="exact"/>
              <w:rPr>
                <w:rFonts w:asciiTheme="minorHAnsi" w:hAnsiTheme="minorHAnsi" w:eastAsiaTheme="minorEastAsia" w:cstheme="minorBidi"/>
              </w:rPr>
            </w:pPr>
            <w:r>
              <w:rPr>
                <w:rFonts w:hint="eastAsia" w:asciiTheme="minorHAnsi" w:hAnsiTheme="minorHAnsi" w:eastAsiaTheme="minorEastAsia" w:cstheme="minorBidi"/>
              </w:rPr>
              <w:t>4.货物到场：接到电话通知后，响应人应在24小时到货。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3" w:type="dxa"/>
            <w:vAlign w:val="center"/>
          </w:tcPr>
          <w:p>
            <w:pPr>
              <w:snapToGrid w:val="0"/>
              <w:spacing w:line="400" w:lineRule="exact"/>
              <w:rPr>
                <w:rFonts w:asciiTheme="minorHAnsi" w:hAnsiTheme="minorHAnsi" w:eastAsiaTheme="minorEastAsia" w:cstheme="minorBidi"/>
              </w:rPr>
            </w:pPr>
            <w:r>
              <w:rPr>
                <w:rFonts w:hint="eastAsia" w:asciiTheme="minorHAnsi" w:hAnsiTheme="minorHAnsi" w:eastAsiaTheme="minorEastAsia" w:cstheme="minorBidi"/>
              </w:rPr>
              <w:t>5.项目服务工具要求：响应人至少应具有的专用工具有：数字万用表、压力表、真空泵、内阻仪、钳流表、高压水泵、服务专用车辆。</w:t>
            </w:r>
          </w:p>
        </w:tc>
      </w:tr>
    </w:tbl>
    <w:p>
      <w:pPr>
        <w:spacing w:line="420" w:lineRule="exact"/>
        <w:ind w:firstLine="482" w:firstLineChars="200"/>
        <w:rPr>
          <w:rFonts w:ascii="宋体" w:hAnsi="宋体" w:cs="宋体"/>
          <w:b/>
          <w:sz w:val="24"/>
          <w:szCs w:val="24"/>
        </w:rPr>
      </w:pPr>
      <w:r>
        <w:rPr>
          <w:rFonts w:hint="eastAsia" w:ascii="宋体" w:hAnsi="宋体" w:cs="宋体"/>
          <w:b/>
          <w:sz w:val="24"/>
          <w:szCs w:val="24"/>
        </w:rPr>
        <w:t>注意事项：以上要求响应人需完全响应，否则响应文件将被视为无效。</w:t>
      </w:r>
    </w:p>
    <w:p>
      <w:pPr>
        <w:spacing w:line="420" w:lineRule="exact"/>
        <w:ind w:firstLine="482" w:firstLineChars="200"/>
        <w:rPr>
          <w:rFonts w:ascii="宋体" w:hAnsi="宋体"/>
          <w:sz w:val="24"/>
          <w:szCs w:val="24"/>
        </w:rPr>
      </w:pPr>
      <w:r>
        <w:rPr>
          <w:rFonts w:hint="eastAsia" w:ascii="宋体" w:hAnsi="宋体" w:cs="宋体"/>
          <w:b/>
          <w:bCs/>
          <w:sz w:val="24"/>
          <w:szCs w:val="24"/>
        </w:rPr>
        <w:t>三、比选报价、限价、评分说明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（一）报价说明：</w:t>
      </w:r>
    </w:p>
    <w:p>
      <w:pPr>
        <w:spacing w:line="420" w:lineRule="exact"/>
        <w:ind w:firstLine="480" w:firstLineChars="200"/>
        <w:rPr>
          <w:rFonts w:ascii="宋体" w:hAnsi="宋体" w:cs="宋体"/>
          <w:sz w:val="24"/>
          <w:szCs w:val="24"/>
        </w:rPr>
      </w:pPr>
      <w:r>
        <w:rPr>
          <w:rFonts w:hint="eastAsia" w:ascii="宋体" w:hAnsi="宋体" w:cs="宋体"/>
          <w:sz w:val="24"/>
          <w:szCs w:val="24"/>
        </w:rPr>
        <w:t>响应文件中仅存在唯一报价。以清单单项及总价报价的形式进行报价（总价计算方式为各单项报价*预估数量之和）。比选报价中包括了所有材料费、制作费、运输费、安装费、转运费（含二次转运费）、检验检测费、利润、税金、免费质保期内的缺陷修复及维护保养、清洁费各种风险等全部费用。</w:t>
      </w:r>
      <w:r>
        <w:rPr>
          <w:rFonts w:ascii="宋体" w:hAnsi="宋体" w:cs="宋体"/>
          <w:sz w:val="24"/>
          <w:szCs w:val="24"/>
        </w:rPr>
        <w:t>合同签订后原则上比选人不做费用调整。大写金额与小写金额不一致的，以大写金额为准</w:t>
      </w:r>
      <w:r>
        <w:rPr>
          <w:rFonts w:hint="eastAsia" w:ascii="宋体" w:hAnsi="宋体" w:cs="宋体"/>
          <w:sz w:val="24"/>
          <w:szCs w:val="24"/>
        </w:rPr>
        <w:t>。</w:t>
      </w:r>
    </w:p>
    <w:p>
      <w:pPr>
        <w:spacing w:line="420" w:lineRule="exact"/>
        <w:ind w:firstLine="480" w:firstLineChars="200"/>
        <w:rPr>
          <w:rFonts w:ascii="宋体" w:hAnsi="宋体" w:cs="宋体"/>
          <w:sz w:val="24"/>
          <w:szCs w:val="24"/>
        </w:rPr>
      </w:pPr>
      <w:r>
        <w:rPr>
          <w:rFonts w:hint="eastAsia" w:ascii="宋体" w:hAnsi="宋体" w:cs="宋体"/>
          <w:sz w:val="24"/>
          <w:szCs w:val="24"/>
        </w:rPr>
        <w:t>（二）限价说明：本项目只设置清单单项最高限价，最高限价见下表，响应人的报价不得超过对应的最高限价，否则，响应文件将被视为无效。</w:t>
      </w:r>
    </w:p>
    <w:tbl>
      <w:tblPr>
        <w:tblStyle w:val="16"/>
        <w:tblW w:w="461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73"/>
        <w:gridCol w:w="1603"/>
        <w:gridCol w:w="1829"/>
        <w:gridCol w:w="2220"/>
        <w:gridCol w:w="770"/>
        <w:gridCol w:w="166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序号</w:t>
            </w:r>
          </w:p>
        </w:tc>
        <w:tc>
          <w:tcPr>
            <w:tcW w:w="895" w:type="pct"/>
            <w:shd w:val="clear" w:color="auto" w:fill="auto"/>
            <w:vAlign w:val="center"/>
          </w:tcPr>
          <w:p>
            <w:pPr>
              <w:jc w:val="center"/>
            </w:pPr>
            <w:r>
              <w:rPr>
                <w:rFonts w:hint="eastAsia"/>
              </w:rPr>
              <w:t>服务类型</w:t>
            </w:r>
          </w:p>
        </w:tc>
        <w:tc>
          <w:tcPr>
            <w:tcW w:w="1021" w:type="pct"/>
            <w:shd w:val="clear" w:color="auto" w:fill="auto"/>
            <w:vAlign w:val="center"/>
          </w:tcPr>
          <w:p>
            <w:pPr>
              <w:jc w:val="center"/>
            </w:pPr>
            <w:r>
              <w:rPr>
                <w:rFonts w:hint="eastAsia"/>
              </w:rPr>
              <w:t>对应主机型号</w:t>
            </w:r>
          </w:p>
        </w:tc>
        <w:tc>
          <w:tcPr>
            <w:tcW w:w="1239" w:type="pct"/>
            <w:shd w:val="clear" w:color="auto" w:fill="auto"/>
            <w:vAlign w:val="center"/>
          </w:tcPr>
          <w:p>
            <w:pPr>
              <w:jc w:val="center"/>
            </w:pPr>
            <w:r>
              <w:rPr>
                <w:rFonts w:hint="eastAsia"/>
              </w:rPr>
              <w:t>产品名称</w:t>
            </w:r>
          </w:p>
        </w:tc>
        <w:tc>
          <w:tcPr>
            <w:tcW w:w="430" w:type="pct"/>
            <w:shd w:val="clear" w:color="auto" w:fill="auto"/>
            <w:vAlign w:val="center"/>
          </w:tcPr>
          <w:p>
            <w:pPr>
              <w:jc w:val="center"/>
            </w:pPr>
            <w:r>
              <w:rPr>
                <w:rFonts w:hint="eastAsia"/>
              </w:rPr>
              <w:t>数量</w:t>
            </w:r>
          </w:p>
        </w:tc>
        <w:tc>
          <w:tcPr>
            <w:tcW w:w="927" w:type="pct"/>
            <w:vAlign w:val="center"/>
          </w:tcPr>
          <w:p>
            <w:pPr>
              <w:widowControl/>
              <w:jc w:val="center"/>
              <w:rPr>
                <w:rFonts w:ascii="宋体" w:hAnsi="宋体" w:cs="宋体"/>
                <w:bCs/>
                <w:kern w:val="0"/>
              </w:rPr>
            </w:pPr>
            <w:r>
              <w:rPr>
                <w:rFonts w:hint="eastAsia" w:ascii="宋体" w:hAnsi="宋体" w:cs="宋体"/>
                <w:bCs/>
                <w:kern w:val="0"/>
              </w:rPr>
              <w:t>最高限价（元）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bookmarkStart w:id="0" w:name="_Hlk155609589"/>
            <w:r>
              <w:rPr>
                <w:rFonts w:hint="eastAsia"/>
              </w:rPr>
              <w:t>1</w:t>
            </w:r>
          </w:p>
        </w:tc>
        <w:tc>
          <w:tcPr>
            <w:tcW w:w="895" w:type="pct"/>
            <w:vMerge w:val="restart"/>
            <w:shd w:val="clear" w:color="auto" w:fill="auto"/>
            <w:vAlign w:val="center"/>
          </w:tcPr>
          <w:p>
            <w:r>
              <w:rPr>
                <w:rFonts w:hint="eastAsia"/>
              </w:rPr>
              <w:t>备品备件服务</w:t>
            </w:r>
          </w:p>
        </w:tc>
        <w:tc>
          <w:tcPr>
            <w:tcW w:w="1021" w:type="pct"/>
            <w:vMerge w:val="restart"/>
            <w:shd w:val="clear" w:color="auto" w:fill="auto"/>
            <w:vAlign w:val="center"/>
          </w:tcPr>
          <w:p>
            <w:r>
              <w:rPr>
                <w:rFonts w:hint="eastAsia"/>
              </w:rPr>
              <w:t>UPS主机（伊顿93E-60kVA）</w:t>
            </w:r>
          </w:p>
        </w:tc>
        <w:tc>
          <w:tcPr>
            <w:tcW w:w="1239" w:type="pct"/>
            <w:shd w:val="clear" w:color="auto" w:fill="auto"/>
            <w:vAlign w:val="center"/>
          </w:tcPr>
          <w:p>
            <w:r>
              <w:rPr>
                <w:rFonts w:hint="eastAsia"/>
              </w:rPr>
              <w:t>通讯板</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cs="等线"/>
                <w:kern w:val="0"/>
              </w:rPr>
              <w:t>7554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2</w:t>
            </w:r>
          </w:p>
        </w:tc>
        <w:tc>
          <w:tcPr>
            <w:tcW w:w="895" w:type="pct"/>
            <w:vMerge w:val="continue"/>
            <w:vAlign w:val="center"/>
          </w:tcPr>
          <w:p/>
        </w:tc>
        <w:tc>
          <w:tcPr>
            <w:tcW w:w="1021" w:type="pct"/>
            <w:vMerge w:val="continue"/>
            <w:vAlign w:val="center"/>
          </w:tcPr>
          <w:p/>
        </w:tc>
        <w:tc>
          <w:tcPr>
            <w:tcW w:w="1239" w:type="pct"/>
            <w:shd w:val="clear" w:color="auto" w:fill="auto"/>
            <w:vAlign w:val="center"/>
          </w:tcPr>
          <w:p>
            <w:r>
              <w:rPr>
                <w:rFonts w:hint="eastAsia"/>
              </w:rPr>
              <w:t>控制板</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cs="等线"/>
                <w:kern w:val="0"/>
              </w:rPr>
              <w:t>8942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3</w:t>
            </w:r>
          </w:p>
        </w:tc>
        <w:tc>
          <w:tcPr>
            <w:tcW w:w="895" w:type="pct"/>
            <w:vMerge w:val="continue"/>
            <w:vAlign w:val="center"/>
          </w:tcPr>
          <w:p/>
        </w:tc>
        <w:tc>
          <w:tcPr>
            <w:tcW w:w="1021" w:type="pct"/>
            <w:vMerge w:val="continue"/>
            <w:vAlign w:val="center"/>
          </w:tcPr>
          <w:p/>
        </w:tc>
        <w:tc>
          <w:tcPr>
            <w:tcW w:w="1239" w:type="pct"/>
            <w:shd w:val="clear" w:color="auto" w:fill="auto"/>
            <w:vAlign w:val="center"/>
          </w:tcPr>
          <w:p>
            <w:r>
              <w:rPr>
                <w:rFonts w:hint="eastAsia"/>
              </w:rPr>
              <w:t>接口板</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cs="等线"/>
                <w:kern w:val="0"/>
              </w:rPr>
              <w:t>5320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4</w:t>
            </w:r>
          </w:p>
        </w:tc>
        <w:tc>
          <w:tcPr>
            <w:tcW w:w="895" w:type="pct"/>
            <w:vMerge w:val="continue"/>
            <w:vAlign w:val="center"/>
          </w:tcPr>
          <w:p/>
        </w:tc>
        <w:tc>
          <w:tcPr>
            <w:tcW w:w="1021" w:type="pct"/>
            <w:vMerge w:val="continue"/>
            <w:vAlign w:val="center"/>
          </w:tcPr>
          <w:p/>
        </w:tc>
        <w:tc>
          <w:tcPr>
            <w:tcW w:w="1239" w:type="pct"/>
            <w:shd w:val="clear" w:color="auto" w:fill="auto"/>
            <w:vAlign w:val="center"/>
          </w:tcPr>
          <w:p>
            <w:r>
              <w:rPr>
                <w:rFonts w:hint="eastAsia"/>
              </w:rPr>
              <w:t>整流模块</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cs="等线"/>
                <w:kern w:val="0"/>
              </w:rPr>
              <w:t>25172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5</w:t>
            </w:r>
          </w:p>
        </w:tc>
        <w:tc>
          <w:tcPr>
            <w:tcW w:w="895" w:type="pct"/>
            <w:vMerge w:val="continue"/>
            <w:vAlign w:val="center"/>
          </w:tcPr>
          <w:p/>
        </w:tc>
        <w:tc>
          <w:tcPr>
            <w:tcW w:w="1021" w:type="pct"/>
            <w:vMerge w:val="continue"/>
            <w:vAlign w:val="center"/>
          </w:tcPr>
          <w:p/>
        </w:tc>
        <w:tc>
          <w:tcPr>
            <w:tcW w:w="1239" w:type="pct"/>
            <w:shd w:val="clear" w:color="auto" w:fill="auto"/>
            <w:vAlign w:val="center"/>
          </w:tcPr>
          <w:p>
            <w:r>
              <w:rPr>
                <w:rFonts w:hint="eastAsia"/>
              </w:rPr>
              <w:t>逆变模块</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cs="等线"/>
                <w:kern w:val="0"/>
              </w:rPr>
              <w:t>25172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6</w:t>
            </w:r>
          </w:p>
        </w:tc>
        <w:tc>
          <w:tcPr>
            <w:tcW w:w="895" w:type="pct"/>
            <w:vMerge w:val="continue"/>
            <w:vAlign w:val="center"/>
          </w:tcPr>
          <w:p/>
        </w:tc>
        <w:tc>
          <w:tcPr>
            <w:tcW w:w="1021" w:type="pct"/>
            <w:vMerge w:val="continue"/>
            <w:vAlign w:val="center"/>
          </w:tcPr>
          <w:p/>
        </w:tc>
        <w:tc>
          <w:tcPr>
            <w:tcW w:w="1239" w:type="pct"/>
            <w:shd w:val="clear" w:color="auto" w:fill="auto"/>
            <w:vAlign w:val="center"/>
          </w:tcPr>
          <w:p>
            <w:r>
              <w:rPr>
                <w:rFonts w:hint="eastAsia"/>
              </w:rPr>
              <w:t>电源板</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cs="等线"/>
                <w:kern w:val="0"/>
              </w:rPr>
              <w:t>7158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7</w:t>
            </w:r>
          </w:p>
        </w:tc>
        <w:tc>
          <w:tcPr>
            <w:tcW w:w="895" w:type="pct"/>
            <w:vMerge w:val="continue"/>
            <w:vAlign w:val="center"/>
          </w:tcPr>
          <w:p/>
        </w:tc>
        <w:tc>
          <w:tcPr>
            <w:tcW w:w="1021" w:type="pct"/>
            <w:vMerge w:val="continue"/>
            <w:vAlign w:val="center"/>
          </w:tcPr>
          <w:p/>
        </w:tc>
        <w:tc>
          <w:tcPr>
            <w:tcW w:w="1239" w:type="pct"/>
            <w:shd w:val="clear" w:color="auto" w:fill="auto"/>
            <w:vAlign w:val="center"/>
          </w:tcPr>
          <w:p>
            <w:r>
              <w:rPr>
                <w:rFonts w:hint="eastAsia"/>
              </w:rPr>
              <w:t>静态旁路板</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cs="等线"/>
                <w:kern w:val="0"/>
              </w:rPr>
              <w:t>20622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8</w:t>
            </w:r>
          </w:p>
        </w:tc>
        <w:tc>
          <w:tcPr>
            <w:tcW w:w="895" w:type="pct"/>
            <w:vMerge w:val="continue"/>
            <w:vAlign w:val="center"/>
          </w:tcPr>
          <w:p/>
        </w:tc>
        <w:tc>
          <w:tcPr>
            <w:tcW w:w="1021" w:type="pct"/>
            <w:vMerge w:val="continue"/>
            <w:vAlign w:val="center"/>
          </w:tcPr>
          <w:p/>
        </w:tc>
        <w:tc>
          <w:tcPr>
            <w:tcW w:w="1239" w:type="pct"/>
            <w:shd w:val="clear" w:color="auto" w:fill="auto"/>
            <w:vAlign w:val="center"/>
          </w:tcPr>
          <w:p>
            <w:r>
              <w:rPr>
                <w:rFonts w:hint="eastAsia"/>
              </w:rPr>
              <w:t>并机板</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cs="等线"/>
                <w:kern w:val="0"/>
              </w:rPr>
              <w:t>6481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9</w:t>
            </w:r>
          </w:p>
        </w:tc>
        <w:tc>
          <w:tcPr>
            <w:tcW w:w="895" w:type="pct"/>
            <w:vMerge w:val="continue"/>
            <w:vAlign w:val="center"/>
          </w:tcPr>
          <w:p/>
        </w:tc>
        <w:tc>
          <w:tcPr>
            <w:tcW w:w="1021" w:type="pct"/>
            <w:vMerge w:val="continue"/>
            <w:vAlign w:val="center"/>
          </w:tcPr>
          <w:p/>
        </w:tc>
        <w:tc>
          <w:tcPr>
            <w:tcW w:w="1239" w:type="pct"/>
            <w:shd w:val="clear" w:color="auto" w:fill="auto"/>
            <w:vAlign w:val="center"/>
          </w:tcPr>
          <w:p>
            <w:r>
              <w:rPr>
                <w:rFonts w:hint="eastAsia"/>
              </w:rPr>
              <w:t>初级滤波板</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cs="等线"/>
                <w:kern w:val="0"/>
              </w:rPr>
              <w:t>9347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10</w:t>
            </w:r>
          </w:p>
        </w:tc>
        <w:tc>
          <w:tcPr>
            <w:tcW w:w="895" w:type="pct"/>
            <w:vMerge w:val="continue"/>
            <w:vAlign w:val="center"/>
          </w:tcPr>
          <w:p/>
        </w:tc>
        <w:tc>
          <w:tcPr>
            <w:tcW w:w="1021" w:type="pct"/>
            <w:vMerge w:val="continue"/>
            <w:vAlign w:val="center"/>
          </w:tcPr>
          <w:p/>
        </w:tc>
        <w:tc>
          <w:tcPr>
            <w:tcW w:w="1239" w:type="pct"/>
            <w:shd w:val="clear" w:color="auto" w:fill="auto"/>
            <w:vAlign w:val="center"/>
          </w:tcPr>
          <w:p>
            <w:r>
              <w:rPr>
                <w:rFonts w:hint="eastAsia"/>
              </w:rPr>
              <w:t>电源风扇</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cs="等线"/>
                <w:kern w:val="0"/>
              </w:rPr>
              <w:t>3507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11</w:t>
            </w:r>
          </w:p>
        </w:tc>
        <w:tc>
          <w:tcPr>
            <w:tcW w:w="895" w:type="pct"/>
            <w:vMerge w:val="continue"/>
            <w:vAlign w:val="center"/>
          </w:tcPr>
          <w:p/>
        </w:tc>
        <w:tc>
          <w:tcPr>
            <w:tcW w:w="1021" w:type="pct"/>
            <w:vMerge w:val="continue"/>
            <w:vAlign w:val="center"/>
          </w:tcPr>
          <w:p/>
        </w:tc>
        <w:tc>
          <w:tcPr>
            <w:tcW w:w="1239" w:type="pct"/>
            <w:shd w:val="clear" w:color="auto" w:fill="auto"/>
            <w:vAlign w:val="center"/>
          </w:tcPr>
          <w:p>
            <w:r>
              <w:rPr>
                <w:rFonts w:hint="eastAsia"/>
              </w:rPr>
              <w:t>模块风扇</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cs="等线"/>
                <w:kern w:val="0"/>
              </w:rPr>
              <w:t>3507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12</w:t>
            </w:r>
          </w:p>
        </w:tc>
        <w:tc>
          <w:tcPr>
            <w:tcW w:w="895" w:type="pct"/>
            <w:vMerge w:val="continue"/>
            <w:vAlign w:val="center"/>
          </w:tcPr>
          <w:p/>
        </w:tc>
        <w:tc>
          <w:tcPr>
            <w:tcW w:w="1021" w:type="pct"/>
            <w:vMerge w:val="continue"/>
            <w:vAlign w:val="center"/>
          </w:tcPr>
          <w:p/>
        </w:tc>
        <w:tc>
          <w:tcPr>
            <w:tcW w:w="1239" w:type="pct"/>
            <w:shd w:val="clear" w:color="auto" w:fill="auto"/>
            <w:vAlign w:val="center"/>
          </w:tcPr>
          <w:p>
            <w:r>
              <w:rPr>
                <w:rFonts w:hint="eastAsia"/>
              </w:rPr>
              <w:t>旁路风扇</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cs="等线"/>
                <w:kern w:val="0"/>
              </w:rPr>
              <w:t>3507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13</w:t>
            </w:r>
          </w:p>
        </w:tc>
        <w:tc>
          <w:tcPr>
            <w:tcW w:w="895" w:type="pct"/>
            <w:vMerge w:val="continue"/>
            <w:vAlign w:val="center"/>
          </w:tcPr>
          <w:p/>
        </w:tc>
        <w:tc>
          <w:tcPr>
            <w:tcW w:w="1021" w:type="pct"/>
            <w:vMerge w:val="continue"/>
            <w:vAlign w:val="center"/>
          </w:tcPr>
          <w:p/>
        </w:tc>
        <w:tc>
          <w:tcPr>
            <w:tcW w:w="1239" w:type="pct"/>
            <w:shd w:val="clear" w:color="auto" w:fill="auto"/>
            <w:vAlign w:val="center"/>
          </w:tcPr>
          <w:p>
            <w:r>
              <w:rPr>
                <w:rFonts w:hint="eastAsia"/>
              </w:rPr>
              <w:t>防尘网</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cs="等线"/>
                <w:kern w:val="0"/>
              </w:rPr>
              <w:t>1553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14</w:t>
            </w:r>
          </w:p>
        </w:tc>
        <w:tc>
          <w:tcPr>
            <w:tcW w:w="895" w:type="pct"/>
            <w:vMerge w:val="continue"/>
            <w:vAlign w:val="center"/>
          </w:tcPr>
          <w:p/>
        </w:tc>
        <w:tc>
          <w:tcPr>
            <w:tcW w:w="1021" w:type="pct"/>
            <w:vMerge w:val="continue"/>
            <w:vAlign w:val="center"/>
          </w:tcPr>
          <w:p/>
        </w:tc>
        <w:tc>
          <w:tcPr>
            <w:tcW w:w="1239" w:type="pct"/>
            <w:shd w:val="clear" w:color="auto" w:fill="auto"/>
            <w:vAlign w:val="center"/>
          </w:tcPr>
          <w:p>
            <w:r>
              <w:rPr>
                <w:rFonts w:hint="eastAsia"/>
              </w:rPr>
              <w:t>电容</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cs="等线"/>
                <w:kern w:val="0"/>
              </w:rPr>
              <w:t>3912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15</w:t>
            </w:r>
          </w:p>
        </w:tc>
        <w:tc>
          <w:tcPr>
            <w:tcW w:w="895" w:type="pct"/>
            <w:vMerge w:val="continue"/>
            <w:vAlign w:val="center"/>
          </w:tcPr>
          <w:p/>
        </w:tc>
        <w:tc>
          <w:tcPr>
            <w:tcW w:w="1021" w:type="pct"/>
            <w:vMerge w:val="continue"/>
            <w:vAlign w:val="center"/>
          </w:tcPr>
          <w:p/>
        </w:tc>
        <w:tc>
          <w:tcPr>
            <w:tcW w:w="1239" w:type="pct"/>
            <w:shd w:val="clear" w:color="auto" w:fill="auto"/>
            <w:vAlign w:val="center"/>
          </w:tcPr>
          <w:p>
            <w:r>
              <w:rPr>
                <w:rFonts w:hint="eastAsia"/>
              </w:rPr>
              <w:t>蓄电池</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cs="等线"/>
                <w:kern w:val="0"/>
              </w:rPr>
              <w:t>1043</w:t>
            </w:r>
          </w:p>
        </w:tc>
      </w:tr>
      <w:bookmarkEnd w:id="0"/>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16</w:t>
            </w:r>
          </w:p>
        </w:tc>
        <w:tc>
          <w:tcPr>
            <w:tcW w:w="895" w:type="pct"/>
            <w:vMerge w:val="restart"/>
            <w:shd w:val="clear" w:color="auto" w:fill="auto"/>
            <w:vAlign w:val="center"/>
          </w:tcPr>
          <w:p>
            <w:r>
              <w:rPr>
                <w:rFonts w:hint="eastAsia"/>
              </w:rPr>
              <w:t>备品备件服务</w:t>
            </w:r>
          </w:p>
        </w:tc>
        <w:tc>
          <w:tcPr>
            <w:tcW w:w="1021" w:type="pct"/>
            <w:vMerge w:val="restart"/>
            <w:shd w:val="clear" w:color="auto" w:fill="auto"/>
            <w:vAlign w:val="center"/>
          </w:tcPr>
          <w:p>
            <w:r>
              <w:rPr>
                <w:rFonts w:hint="eastAsia"/>
              </w:rPr>
              <w:t>精密空调（伊顿SAC1DA47）</w:t>
            </w:r>
          </w:p>
        </w:tc>
        <w:tc>
          <w:tcPr>
            <w:tcW w:w="1239" w:type="pct"/>
            <w:shd w:val="clear" w:color="auto" w:fill="auto"/>
            <w:vAlign w:val="center"/>
          </w:tcPr>
          <w:p>
            <w:r>
              <w:rPr>
                <w:rFonts w:hint="eastAsia"/>
              </w:rPr>
              <w:t>压缩机</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cs="等线"/>
                <w:kern w:val="0"/>
              </w:rPr>
              <w:t>52780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17</w:t>
            </w:r>
          </w:p>
        </w:tc>
        <w:tc>
          <w:tcPr>
            <w:tcW w:w="895" w:type="pct"/>
            <w:vMerge w:val="continue"/>
            <w:vAlign w:val="center"/>
          </w:tcPr>
          <w:p/>
        </w:tc>
        <w:tc>
          <w:tcPr>
            <w:tcW w:w="1021" w:type="pct"/>
            <w:vMerge w:val="continue"/>
            <w:vAlign w:val="center"/>
          </w:tcPr>
          <w:p/>
        </w:tc>
        <w:tc>
          <w:tcPr>
            <w:tcW w:w="1239" w:type="pct"/>
            <w:shd w:val="clear" w:color="auto" w:fill="auto"/>
            <w:vAlign w:val="center"/>
          </w:tcPr>
          <w:p>
            <w:r>
              <w:rPr>
                <w:rFonts w:hint="eastAsia"/>
              </w:rPr>
              <w:t>压缩机加热器</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cs="等线"/>
                <w:kern w:val="0"/>
              </w:rPr>
              <w:t>7248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18</w:t>
            </w:r>
          </w:p>
        </w:tc>
        <w:tc>
          <w:tcPr>
            <w:tcW w:w="895" w:type="pct"/>
            <w:vMerge w:val="continue"/>
            <w:vAlign w:val="center"/>
          </w:tcPr>
          <w:p/>
        </w:tc>
        <w:tc>
          <w:tcPr>
            <w:tcW w:w="1021" w:type="pct"/>
            <w:vMerge w:val="continue"/>
            <w:vAlign w:val="center"/>
          </w:tcPr>
          <w:p/>
        </w:tc>
        <w:tc>
          <w:tcPr>
            <w:tcW w:w="1239" w:type="pct"/>
            <w:shd w:val="clear" w:color="auto" w:fill="auto"/>
            <w:vAlign w:val="center"/>
          </w:tcPr>
          <w:p>
            <w:r>
              <w:rPr>
                <w:rFonts w:hint="eastAsia"/>
              </w:rPr>
              <w:t>风机</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cs="等线"/>
                <w:kern w:val="0"/>
              </w:rPr>
              <w:t>34967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19</w:t>
            </w:r>
          </w:p>
        </w:tc>
        <w:tc>
          <w:tcPr>
            <w:tcW w:w="895" w:type="pct"/>
            <w:vMerge w:val="continue"/>
            <w:vAlign w:val="center"/>
          </w:tcPr>
          <w:p/>
        </w:tc>
        <w:tc>
          <w:tcPr>
            <w:tcW w:w="1021" w:type="pct"/>
            <w:vMerge w:val="continue"/>
            <w:vAlign w:val="center"/>
          </w:tcPr>
          <w:p/>
        </w:tc>
        <w:tc>
          <w:tcPr>
            <w:tcW w:w="1239" w:type="pct"/>
            <w:shd w:val="clear" w:color="auto" w:fill="auto"/>
            <w:vAlign w:val="center"/>
          </w:tcPr>
          <w:p>
            <w:r>
              <w:rPr>
                <w:rFonts w:hint="eastAsia"/>
              </w:rPr>
              <w:t>电磁阀</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cs="等线"/>
                <w:kern w:val="0"/>
              </w:rPr>
              <w:t>4487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20</w:t>
            </w:r>
          </w:p>
        </w:tc>
        <w:tc>
          <w:tcPr>
            <w:tcW w:w="895" w:type="pct"/>
            <w:vMerge w:val="continue"/>
            <w:vAlign w:val="center"/>
          </w:tcPr>
          <w:p/>
        </w:tc>
        <w:tc>
          <w:tcPr>
            <w:tcW w:w="1021" w:type="pct"/>
            <w:vMerge w:val="continue"/>
            <w:vAlign w:val="center"/>
          </w:tcPr>
          <w:p/>
        </w:tc>
        <w:tc>
          <w:tcPr>
            <w:tcW w:w="1239" w:type="pct"/>
            <w:shd w:val="clear" w:color="auto" w:fill="auto"/>
            <w:vAlign w:val="center"/>
          </w:tcPr>
          <w:p>
            <w:r>
              <w:rPr>
                <w:rFonts w:hint="eastAsia"/>
              </w:rPr>
              <w:t>HP/LP开关</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cs="等线"/>
                <w:kern w:val="0"/>
              </w:rPr>
              <w:t>3470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21</w:t>
            </w:r>
          </w:p>
        </w:tc>
        <w:tc>
          <w:tcPr>
            <w:tcW w:w="895" w:type="pct"/>
            <w:vMerge w:val="continue"/>
            <w:vAlign w:val="center"/>
          </w:tcPr>
          <w:p/>
        </w:tc>
        <w:tc>
          <w:tcPr>
            <w:tcW w:w="1021" w:type="pct"/>
            <w:vMerge w:val="continue"/>
            <w:vAlign w:val="center"/>
          </w:tcPr>
          <w:p/>
        </w:tc>
        <w:tc>
          <w:tcPr>
            <w:tcW w:w="1239" w:type="pct"/>
            <w:shd w:val="clear" w:color="auto" w:fill="auto"/>
            <w:vAlign w:val="center"/>
          </w:tcPr>
          <w:p>
            <w:r>
              <w:rPr>
                <w:rFonts w:hint="eastAsia"/>
              </w:rPr>
              <w:t>干燥过滤器</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cs="等线"/>
                <w:kern w:val="0"/>
              </w:rPr>
              <w:t>1630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22</w:t>
            </w:r>
          </w:p>
        </w:tc>
        <w:tc>
          <w:tcPr>
            <w:tcW w:w="895" w:type="pct"/>
            <w:vMerge w:val="continue"/>
            <w:vAlign w:val="center"/>
          </w:tcPr>
          <w:p/>
        </w:tc>
        <w:tc>
          <w:tcPr>
            <w:tcW w:w="1021" w:type="pct"/>
            <w:vMerge w:val="continue"/>
            <w:vAlign w:val="center"/>
          </w:tcPr>
          <w:p/>
        </w:tc>
        <w:tc>
          <w:tcPr>
            <w:tcW w:w="1239" w:type="pct"/>
            <w:shd w:val="clear" w:color="auto" w:fill="auto"/>
            <w:vAlign w:val="center"/>
          </w:tcPr>
          <w:p>
            <w:r>
              <w:rPr>
                <w:rFonts w:hint="eastAsia"/>
              </w:rPr>
              <w:t>空调加湿罐/个</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cs="等线"/>
                <w:kern w:val="0"/>
              </w:rPr>
              <w:t>2947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23</w:t>
            </w:r>
          </w:p>
        </w:tc>
        <w:tc>
          <w:tcPr>
            <w:tcW w:w="895" w:type="pct"/>
            <w:vMerge w:val="continue"/>
            <w:vAlign w:val="center"/>
          </w:tcPr>
          <w:p/>
        </w:tc>
        <w:tc>
          <w:tcPr>
            <w:tcW w:w="1021" w:type="pct"/>
            <w:vMerge w:val="continue"/>
            <w:vAlign w:val="center"/>
          </w:tcPr>
          <w:p/>
        </w:tc>
        <w:tc>
          <w:tcPr>
            <w:tcW w:w="1239" w:type="pct"/>
            <w:shd w:val="clear" w:color="auto" w:fill="auto"/>
            <w:vAlign w:val="center"/>
          </w:tcPr>
          <w:p>
            <w:r>
              <w:rPr>
                <w:rFonts w:hint="eastAsia"/>
              </w:rPr>
              <w:t>上水阀</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cs="等线"/>
                <w:kern w:val="0"/>
              </w:rPr>
              <w:t>1557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24</w:t>
            </w:r>
          </w:p>
        </w:tc>
        <w:tc>
          <w:tcPr>
            <w:tcW w:w="895" w:type="pct"/>
            <w:vMerge w:val="continue"/>
            <w:vAlign w:val="center"/>
          </w:tcPr>
          <w:p/>
        </w:tc>
        <w:tc>
          <w:tcPr>
            <w:tcW w:w="1021" w:type="pct"/>
            <w:vMerge w:val="continue"/>
            <w:vAlign w:val="center"/>
          </w:tcPr>
          <w:p/>
        </w:tc>
        <w:tc>
          <w:tcPr>
            <w:tcW w:w="1239" w:type="pct"/>
            <w:shd w:val="clear" w:color="auto" w:fill="auto"/>
            <w:vAlign w:val="center"/>
          </w:tcPr>
          <w:p>
            <w:r>
              <w:rPr>
                <w:rFonts w:hint="eastAsia"/>
              </w:rPr>
              <w:t>热力膨胀阀</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cs="等线"/>
                <w:kern w:val="0"/>
              </w:rPr>
              <w:t>3857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25</w:t>
            </w:r>
          </w:p>
        </w:tc>
        <w:tc>
          <w:tcPr>
            <w:tcW w:w="895" w:type="pct"/>
            <w:vMerge w:val="continue"/>
            <w:vAlign w:val="center"/>
          </w:tcPr>
          <w:p/>
        </w:tc>
        <w:tc>
          <w:tcPr>
            <w:tcW w:w="1021" w:type="pct"/>
            <w:vMerge w:val="continue"/>
            <w:vAlign w:val="center"/>
          </w:tcPr>
          <w:p/>
        </w:tc>
        <w:tc>
          <w:tcPr>
            <w:tcW w:w="1239" w:type="pct"/>
            <w:shd w:val="clear" w:color="auto" w:fill="auto"/>
            <w:vAlign w:val="center"/>
          </w:tcPr>
          <w:p>
            <w:r>
              <w:rPr>
                <w:rFonts w:hint="eastAsia"/>
              </w:rPr>
              <w:t>温湿度传感器</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cs="等线"/>
                <w:kern w:val="0"/>
              </w:rPr>
              <w:t>6683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26</w:t>
            </w:r>
          </w:p>
        </w:tc>
        <w:tc>
          <w:tcPr>
            <w:tcW w:w="895" w:type="pct"/>
            <w:vMerge w:val="continue"/>
            <w:vAlign w:val="center"/>
          </w:tcPr>
          <w:p/>
        </w:tc>
        <w:tc>
          <w:tcPr>
            <w:tcW w:w="1021" w:type="pct"/>
            <w:vMerge w:val="continue"/>
            <w:vAlign w:val="center"/>
          </w:tcPr>
          <w:p/>
        </w:tc>
        <w:tc>
          <w:tcPr>
            <w:tcW w:w="1239" w:type="pct"/>
            <w:shd w:val="clear" w:color="auto" w:fill="auto"/>
            <w:vAlign w:val="center"/>
          </w:tcPr>
          <w:p>
            <w:r>
              <w:rPr>
                <w:rFonts w:hint="eastAsia"/>
              </w:rPr>
              <w:t>主控制板</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cs="等线"/>
                <w:kern w:val="0"/>
              </w:rPr>
              <w:t>31500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27</w:t>
            </w:r>
          </w:p>
        </w:tc>
        <w:tc>
          <w:tcPr>
            <w:tcW w:w="895" w:type="pct"/>
            <w:vMerge w:val="continue"/>
            <w:vAlign w:val="center"/>
          </w:tcPr>
          <w:p/>
        </w:tc>
        <w:tc>
          <w:tcPr>
            <w:tcW w:w="1021" w:type="pct"/>
            <w:vMerge w:val="continue"/>
            <w:vAlign w:val="center"/>
          </w:tcPr>
          <w:p/>
        </w:tc>
        <w:tc>
          <w:tcPr>
            <w:tcW w:w="1239" w:type="pct"/>
            <w:shd w:val="clear" w:color="auto" w:fill="auto"/>
            <w:vAlign w:val="center"/>
          </w:tcPr>
          <w:p>
            <w:r>
              <w:rPr>
                <w:rFonts w:hint="eastAsia"/>
              </w:rPr>
              <w:t>主控制器</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cs="等线"/>
                <w:kern w:val="0"/>
              </w:rPr>
              <w:t>19950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28</w:t>
            </w:r>
          </w:p>
        </w:tc>
        <w:tc>
          <w:tcPr>
            <w:tcW w:w="895" w:type="pct"/>
            <w:vMerge w:val="continue"/>
            <w:vAlign w:val="center"/>
          </w:tcPr>
          <w:p/>
        </w:tc>
        <w:tc>
          <w:tcPr>
            <w:tcW w:w="1021" w:type="pct"/>
            <w:vMerge w:val="continue"/>
            <w:vAlign w:val="center"/>
          </w:tcPr>
          <w:p/>
        </w:tc>
        <w:tc>
          <w:tcPr>
            <w:tcW w:w="1239" w:type="pct"/>
            <w:shd w:val="clear" w:color="auto" w:fill="auto"/>
            <w:vAlign w:val="center"/>
          </w:tcPr>
          <w:p>
            <w:r>
              <w:rPr>
                <w:rFonts w:hint="eastAsia"/>
              </w:rPr>
              <w:t>QF1、2、3、4/个</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cs="等线"/>
                <w:kern w:val="0"/>
              </w:rPr>
              <w:t>2099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29</w:t>
            </w:r>
          </w:p>
        </w:tc>
        <w:tc>
          <w:tcPr>
            <w:tcW w:w="895" w:type="pct"/>
            <w:vMerge w:val="continue"/>
            <w:vAlign w:val="center"/>
          </w:tcPr>
          <w:p/>
        </w:tc>
        <w:tc>
          <w:tcPr>
            <w:tcW w:w="1021" w:type="pct"/>
            <w:vMerge w:val="continue"/>
            <w:vAlign w:val="center"/>
          </w:tcPr>
          <w:p/>
        </w:tc>
        <w:tc>
          <w:tcPr>
            <w:tcW w:w="1239" w:type="pct"/>
            <w:shd w:val="clear" w:color="auto" w:fill="auto"/>
            <w:vAlign w:val="center"/>
          </w:tcPr>
          <w:p>
            <w:r>
              <w:rPr>
                <w:rFonts w:hint="eastAsia"/>
              </w:rPr>
              <w:t>KM1、2、3、4/个</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cs="等线"/>
                <w:kern w:val="0"/>
              </w:rPr>
              <w:t>2099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30</w:t>
            </w:r>
          </w:p>
        </w:tc>
        <w:tc>
          <w:tcPr>
            <w:tcW w:w="895" w:type="pct"/>
            <w:vMerge w:val="continue"/>
            <w:vAlign w:val="center"/>
          </w:tcPr>
          <w:p/>
        </w:tc>
        <w:tc>
          <w:tcPr>
            <w:tcW w:w="1021" w:type="pct"/>
            <w:vMerge w:val="continue"/>
            <w:vAlign w:val="center"/>
          </w:tcPr>
          <w:p/>
        </w:tc>
        <w:tc>
          <w:tcPr>
            <w:tcW w:w="1239" w:type="pct"/>
            <w:shd w:val="clear" w:color="auto" w:fill="auto"/>
            <w:vAlign w:val="center"/>
          </w:tcPr>
          <w:p>
            <w:r>
              <w:rPr>
                <w:rFonts w:hint="eastAsia"/>
              </w:rPr>
              <w:t>压缩机过热保护器</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cs="等线"/>
                <w:kern w:val="0"/>
              </w:rPr>
              <w:t>12207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31</w:t>
            </w:r>
          </w:p>
        </w:tc>
        <w:tc>
          <w:tcPr>
            <w:tcW w:w="895" w:type="pct"/>
            <w:vMerge w:val="continue"/>
            <w:vAlign w:val="center"/>
          </w:tcPr>
          <w:p/>
        </w:tc>
        <w:tc>
          <w:tcPr>
            <w:tcW w:w="1021" w:type="pct"/>
            <w:vMerge w:val="continue"/>
            <w:vAlign w:val="center"/>
          </w:tcPr>
          <w:p/>
        </w:tc>
        <w:tc>
          <w:tcPr>
            <w:tcW w:w="1239" w:type="pct"/>
            <w:shd w:val="clear" w:color="auto" w:fill="auto"/>
            <w:vAlign w:val="center"/>
          </w:tcPr>
          <w:p>
            <w:r>
              <w:rPr>
                <w:rFonts w:hint="eastAsia"/>
              </w:rPr>
              <w:t>排水阀线圈</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cs="等线"/>
                <w:kern w:val="0"/>
              </w:rPr>
              <w:t>7960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32</w:t>
            </w:r>
          </w:p>
        </w:tc>
        <w:tc>
          <w:tcPr>
            <w:tcW w:w="895" w:type="pct"/>
            <w:vMerge w:val="continue"/>
            <w:vAlign w:val="center"/>
          </w:tcPr>
          <w:p/>
        </w:tc>
        <w:tc>
          <w:tcPr>
            <w:tcW w:w="1021" w:type="pct"/>
            <w:vMerge w:val="continue"/>
            <w:vAlign w:val="center"/>
          </w:tcPr>
          <w:p/>
        </w:tc>
        <w:tc>
          <w:tcPr>
            <w:tcW w:w="1239" w:type="pct"/>
            <w:shd w:val="clear" w:color="auto" w:fill="auto"/>
            <w:vAlign w:val="center"/>
          </w:tcPr>
          <w:p>
            <w:r>
              <w:rPr>
                <w:rFonts w:hint="eastAsia"/>
              </w:rPr>
              <w:t>电加热器</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cs="等线"/>
                <w:kern w:val="0"/>
              </w:rPr>
              <w:t>3493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33</w:t>
            </w:r>
          </w:p>
        </w:tc>
        <w:tc>
          <w:tcPr>
            <w:tcW w:w="895" w:type="pct"/>
            <w:vMerge w:val="continue"/>
            <w:vAlign w:val="center"/>
          </w:tcPr>
          <w:p/>
        </w:tc>
        <w:tc>
          <w:tcPr>
            <w:tcW w:w="1021" w:type="pct"/>
            <w:vMerge w:val="continue"/>
            <w:vAlign w:val="center"/>
          </w:tcPr>
          <w:p/>
        </w:tc>
        <w:tc>
          <w:tcPr>
            <w:tcW w:w="1239" w:type="pct"/>
            <w:shd w:val="clear" w:color="auto" w:fill="auto"/>
            <w:vAlign w:val="center"/>
          </w:tcPr>
          <w:p>
            <w:r>
              <w:rPr>
                <w:rFonts w:hint="eastAsia"/>
              </w:rPr>
              <w:t>冷凝器风扇</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cs="等线"/>
                <w:kern w:val="0"/>
              </w:rPr>
              <w:t>5673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34</w:t>
            </w:r>
          </w:p>
        </w:tc>
        <w:tc>
          <w:tcPr>
            <w:tcW w:w="895" w:type="pct"/>
            <w:vMerge w:val="restart"/>
            <w:shd w:val="clear" w:color="auto" w:fill="auto"/>
            <w:noWrap/>
            <w:vAlign w:val="center"/>
          </w:tcPr>
          <w:p>
            <w:r>
              <w:rPr>
                <w:rFonts w:hint="eastAsia"/>
              </w:rPr>
              <w:t>备品备件服务</w:t>
            </w:r>
          </w:p>
        </w:tc>
        <w:tc>
          <w:tcPr>
            <w:tcW w:w="1021" w:type="pct"/>
            <w:vMerge w:val="restart"/>
            <w:shd w:val="clear" w:color="auto" w:fill="auto"/>
            <w:noWrap/>
            <w:vAlign w:val="center"/>
          </w:tcPr>
          <w:p>
            <w:r>
              <w:rPr>
                <w:rFonts w:hint="eastAsia"/>
              </w:rPr>
              <w:t>配电柜</w:t>
            </w:r>
          </w:p>
        </w:tc>
        <w:tc>
          <w:tcPr>
            <w:tcW w:w="1239" w:type="pct"/>
            <w:shd w:val="clear" w:color="auto" w:fill="auto"/>
            <w:vAlign w:val="center"/>
          </w:tcPr>
          <w:p>
            <w:r>
              <w:rPr>
                <w:rFonts w:hint="eastAsia"/>
              </w:rPr>
              <w:t>ABB断路器200A/3P</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cs="等线"/>
                <w:kern w:val="0"/>
              </w:rPr>
              <w:t>2423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35</w:t>
            </w:r>
          </w:p>
        </w:tc>
        <w:tc>
          <w:tcPr>
            <w:tcW w:w="895" w:type="pct"/>
            <w:vMerge w:val="continue"/>
            <w:vAlign w:val="center"/>
          </w:tcPr>
          <w:p/>
        </w:tc>
        <w:tc>
          <w:tcPr>
            <w:tcW w:w="1021" w:type="pct"/>
            <w:vMerge w:val="continue"/>
            <w:vAlign w:val="center"/>
          </w:tcPr>
          <w:p/>
        </w:tc>
        <w:tc>
          <w:tcPr>
            <w:tcW w:w="1239" w:type="pct"/>
            <w:shd w:val="clear" w:color="auto" w:fill="auto"/>
            <w:vAlign w:val="center"/>
          </w:tcPr>
          <w:p>
            <w:r>
              <w:rPr>
                <w:rFonts w:hint="eastAsia"/>
              </w:rPr>
              <w:t>ABB断路器160A/3P</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cs="等线"/>
                <w:kern w:val="0"/>
              </w:rPr>
              <w:t>1753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36</w:t>
            </w:r>
          </w:p>
        </w:tc>
        <w:tc>
          <w:tcPr>
            <w:tcW w:w="895" w:type="pct"/>
            <w:vMerge w:val="continue"/>
            <w:vAlign w:val="center"/>
          </w:tcPr>
          <w:p/>
        </w:tc>
        <w:tc>
          <w:tcPr>
            <w:tcW w:w="1021" w:type="pct"/>
            <w:vMerge w:val="continue"/>
            <w:vAlign w:val="center"/>
          </w:tcPr>
          <w:p/>
        </w:tc>
        <w:tc>
          <w:tcPr>
            <w:tcW w:w="1239" w:type="pct"/>
            <w:shd w:val="clear" w:color="auto" w:fill="auto"/>
            <w:vAlign w:val="center"/>
          </w:tcPr>
          <w:p>
            <w:r>
              <w:rPr>
                <w:rFonts w:hint="eastAsia"/>
              </w:rPr>
              <w:t>ABB断路器100A/3P</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cs="等线"/>
                <w:kern w:val="0"/>
              </w:rPr>
              <w:t>1179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37</w:t>
            </w:r>
          </w:p>
        </w:tc>
        <w:tc>
          <w:tcPr>
            <w:tcW w:w="895" w:type="pct"/>
            <w:vMerge w:val="continue"/>
            <w:vAlign w:val="center"/>
          </w:tcPr>
          <w:p/>
        </w:tc>
        <w:tc>
          <w:tcPr>
            <w:tcW w:w="1021" w:type="pct"/>
            <w:vMerge w:val="continue"/>
            <w:vAlign w:val="center"/>
          </w:tcPr>
          <w:p/>
        </w:tc>
        <w:tc>
          <w:tcPr>
            <w:tcW w:w="1239" w:type="pct"/>
            <w:shd w:val="clear" w:color="auto" w:fill="auto"/>
            <w:vAlign w:val="center"/>
          </w:tcPr>
          <w:p>
            <w:r>
              <w:rPr>
                <w:rFonts w:hint="eastAsia"/>
              </w:rPr>
              <w:t>ABB断路器63A/3P</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cs="等线"/>
                <w:kern w:val="0"/>
              </w:rPr>
              <w:t>781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38</w:t>
            </w:r>
          </w:p>
        </w:tc>
        <w:tc>
          <w:tcPr>
            <w:tcW w:w="895" w:type="pct"/>
            <w:vMerge w:val="continue"/>
            <w:vAlign w:val="center"/>
          </w:tcPr>
          <w:p/>
        </w:tc>
        <w:tc>
          <w:tcPr>
            <w:tcW w:w="1021" w:type="pct"/>
            <w:vMerge w:val="continue"/>
            <w:vAlign w:val="center"/>
          </w:tcPr>
          <w:p/>
        </w:tc>
        <w:tc>
          <w:tcPr>
            <w:tcW w:w="1239" w:type="pct"/>
            <w:shd w:val="clear" w:color="auto" w:fill="auto"/>
            <w:vAlign w:val="center"/>
          </w:tcPr>
          <w:p>
            <w:r>
              <w:rPr>
                <w:rFonts w:hint="eastAsia"/>
              </w:rPr>
              <w:t>ABB断路器32A/3P</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cs="等线"/>
                <w:kern w:val="0"/>
              </w:rPr>
              <w:t>176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39</w:t>
            </w:r>
          </w:p>
        </w:tc>
        <w:tc>
          <w:tcPr>
            <w:tcW w:w="895" w:type="pct"/>
            <w:vMerge w:val="continue"/>
            <w:vAlign w:val="center"/>
          </w:tcPr>
          <w:p/>
        </w:tc>
        <w:tc>
          <w:tcPr>
            <w:tcW w:w="1021" w:type="pct"/>
            <w:vMerge w:val="continue"/>
            <w:vAlign w:val="center"/>
          </w:tcPr>
          <w:p/>
        </w:tc>
        <w:tc>
          <w:tcPr>
            <w:tcW w:w="1239" w:type="pct"/>
            <w:shd w:val="clear" w:color="auto" w:fill="auto"/>
            <w:vAlign w:val="center"/>
          </w:tcPr>
          <w:p>
            <w:r>
              <w:rPr>
                <w:rFonts w:hint="eastAsia"/>
              </w:rPr>
              <w:t>ABB断路器32A/1P</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cs="等线"/>
                <w:kern w:val="0"/>
              </w:rPr>
              <w:t>58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40</w:t>
            </w:r>
          </w:p>
        </w:tc>
        <w:tc>
          <w:tcPr>
            <w:tcW w:w="895" w:type="pct"/>
            <w:vMerge w:val="continue"/>
            <w:vAlign w:val="center"/>
          </w:tcPr>
          <w:p/>
        </w:tc>
        <w:tc>
          <w:tcPr>
            <w:tcW w:w="1021" w:type="pct"/>
            <w:vMerge w:val="continue"/>
            <w:vAlign w:val="center"/>
          </w:tcPr>
          <w:p/>
        </w:tc>
        <w:tc>
          <w:tcPr>
            <w:tcW w:w="1239" w:type="pct"/>
            <w:shd w:val="clear" w:color="auto" w:fill="auto"/>
            <w:vAlign w:val="center"/>
          </w:tcPr>
          <w:p>
            <w:r>
              <w:rPr>
                <w:rFonts w:hint="eastAsia"/>
              </w:rPr>
              <w:t>防雷器（标称通流量40KA）</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cs="等线"/>
                <w:kern w:val="0"/>
              </w:rPr>
              <w:t>1477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4</w:t>
            </w:r>
            <w:r>
              <w:t>1</w:t>
            </w:r>
          </w:p>
        </w:tc>
        <w:tc>
          <w:tcPr>
            <w:tcW w:w="895" w:type="pct"/>
            <w:vMerge w:val="continue"/>
            <w:vAlign w:val="center"/>
          </w:tcPr>
          <w:p/>
        </w:tc>
        <w:tc>
          <w:tcPr>
            <w:tcW w:w="1021" w:type="pct"/>
            <w:vMerge w:val="continue"/>
            <w:vAlign w:val="center"/>
          </w:tcPr>
          <w:p/>
        </w:tc>
        <w:tc>
          <w:tcPr>
            <w:tcW w:w="1239" w:type="pct"/>
            <w:shd w:val="clear" w:color="auto" w:fill="auto"/>
            <w:vAlign w:val="center"/>
          </w:tcPr>
          <w:p>
            <w:r>
              <w:rPr>
                <w:rFonts w:hint="eastAsia"/>
              </w:rPr>
              <w:t>多功能电量仪</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hint="eastAsia" w:cs="等线"/>
                <w:kern w:val="0"/>
              </w:rPr>
              <w:t>1</w:t>
            </w:r>
            <w:r>
              <w:rPr>
                <w:rFonts w:cs="等线"/>
                <w:kern w:val="0"/>
              </w:rPr>
              <w:t>350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4</w:t>
            </w:r>
            <w:r>
              <w:t>2</w:t>
            </w:r>
          </w:p>
        </w:tc>
        <w:tc>
          <w:tcPr>
            <w:tcW w:w="895" w:type="pct"/>
            <w:vMerge w:val="continue"/>
            <w:vAlign w:val="center"/>
          </w:tcPr>
          <w:p/>
        </w:tc>
        <w:tc>
          <w:tcPr>
            <w:tcW w:w="1021" w:type="pct"/>
            <w:vMerge w:val="continue"/>
            <w:vAlign w:val="center"/>
          </w:tcPr>
          <w:p/>
        </w:tc>
        <w:tc>
          <w:tcPr>
            <w:tcW w:w="1239" w:type="pct"/>
            <w:shd w:val="clear" w:color="auto" w:fill="auto"/>
            <w:vAlign w:val="center"/>
          </w:tcPr>
          <w:p>
            <w:r>
              <w:rPr>
                <w:rFonts w:hint="eastAsia"/>
              </w:rPr>
              <w:t>机械式电流表（量程200A）</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hint="eastAsia" w:cs="等线"/>
                <w:kern w:val="0"/>
              </w:rPr>
              <w:t>1</w:t>
            </w:r>
            <w:r>
              <w:rPr>
                <w:rFonts w:cs="等线"/>
                <w:kern w:val="0"/>
              </w:rPr>
              <w:t>03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4</w:t>
            </w:r>
            <w:r>
              <w:t>3</w:t>
            </w:r>
          </w:p>
        </w:tc>
        <w:tc>
          <w:tcPr>
            <w:tcW w:w="895" w:type="pct"/>
            <w:vMerge w:val="continue"/>
            <w:vAlign w:val="center"/>
          </w:tcPr>
          <w:p/>
        </w:tc>
        <w:tc>
          <w:tcPr>
            <w:tcW w:w="1021" w:type="pct"/>
            <w:vMerge w:val="continue"/>
            <w:vAlign w:val="center"/>
          </w:tcPr>
          <w:p/>
        </w:tc>
        <w:tc>
          <w:tcPr>
            <w:tcW w:w="1239" w:type="pct"/>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工业连接器32A</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hint="eastAsia" w:cs="等线"/>
                <w:kern w:val="0"/>
              </w:rPr>
              <w:t>1</w:t>
            </w:r>
            <w:r>
              <w:rPr>
                <w:rFonts w:cs="等线"/>
                <w:kern w:val="0"/>
              </w:rPr>
              <w:t>98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4</w:t>
            </w:r>
            <w:r>
              <w:t>4</w:t>
            </w:r>
          </w:p>
        </w:tc>
        <w:tc>
          <w:tcPr>
            <w:tcW w:w="895" w:type="pct"/>
            <w:vMerge w:val="continue"/>
            <w:vAlign w:val="center"/>
          </w:tcPr>
          <w:p/>
        </w:tc>
        <w:tc>
          <w:tcPr>
            <w:tcW w:w="1021" w:type="pct"/>
            <w:vMerge w:val="continue"/>
            <w:vAlign w:val="center"/>
          </w:tcPr>
          <w:p/>
        </w:tc>
        <w:tc>
          <w:tcPr>
            <w:tcW w:w="1239" w:type="pct"/>
            <w:tcBorders>
              <w:top w:val="nil"/>
              <w:left w:val="single" w:color="auto" w:sz="4" w:space="0"/>
              <w:bottom w:val="single" w:color="auto" w:sz="4" w:space="0"/>
              <w:right w:val="single" w:color="auto" w:sz="4" w:space="0"/>
            </w:tcBorders>
            <w:shd w:val="clear" w:color="auto" w:fill="auto"/>
            <w:vAlign w:val="center"/>
          </w:tcPr>
          <w:p>
            <w:r>
              <w:rPr>
                <w:rFonts w:hint="eastAsia"/>
              </w:rPr>
              <w:t>连接线缆</w:t>
            </w:r>
            <w:r>
              <w:rPr>
                <w:rFonts w:hint="eastAsia"/>
              </w:rPr>
              <w:br w:type="textWrapping"/>
            </w:r>
            <w:r>
              <w:rPr>
                <w:rFonts w:hint="eastAsia"/>
              </w:rPr>
              <w:t>RVV 3*6mm2</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hint="eastAsia" w:cs="等线"/>
                <w:kern w:val="0"/>
              </w:rPr>
              <w:t>2</w:t>
            </w:r>
            <w:r>
              <w:rPr>
                <w:rFonts w:cs="等线"/>
                <w:kern w:val="0"/>
              </w:rPr>
              <w:t>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87" w:type="pct"/>
            <w:shd w:val="clear" w:color="auto" w:fill="auto"/>
            <w:vAlign w:val="center"/>
          </w:tcPr>
          <w:p>
            <w:pPr>
              <w:jc w:val="center"/>
            </w:pPr>
            <w:r>
              <w:rPr>
                <w:rFonts w:hint="eastAsia"/>
              </w:rPr>
              <w:t>4</w:t>
            </w:r>
            <w:r>
              <w:t>5</w:t>
            </w:r>
          </w:p>
        </w:tc>
        <w:tc>
          <w:tcPr>
            <w:tcW w:w="895" w:type="pct"/>
            <w:vMerge w:val="continue"/>
            <w:vAlign w:val="center"/>
          </w:tcPr>
          <w:p/>
        </w:tc>
        <w:tc>
          <w:tcPr>
            <w:tcW w:w="1021" w:type="pct"/>
            <w:vMerge w:val="continue"/>
            <w:vAlign w:val="center"/>
          </w:tcPr>
          <w:p/>
        </w:tc>
        <w:tc>
          <w:tcPr>
            <w:tcW w:w="1239" w:type="pct"/>
            <w:tcBorders>
              <w:top w:val="nil"/>
              <w:left w:val="single" w:color="auto" w:sz="4" w:space="0"/>
              <w:bottom w:val="single" w:color="auto" w:sz="4" w:space="0"/>
              <w:right w:val="single" w:color="auto" w:sz="4" w:space="0"/>
            </w:tcBorders>
            <w:shd w:val="clear" w:color="auto" w:fill="auto"/>
            <w:vAlign w:val="center"/>
          </w:tcPr>
          <w:p>
            <w:r>
              <w:rPr>
                <w:rFonts w:hint="eastAsia"/>
              </w:rPr>
              <w:t>PDU</w:t>
            </w:r>
            <w:r>
              <w:rPr>
                <w:rFonts w:hint="eastAsia"/>
              </w:rPr>
              <w:br w:type="textWrapping"/>
            </w:r>
            <w:r>
              <w:rPr>
                <w:rFonts w:hint="eastAsia"/>
              </w:rPr>
              <w:t>32A输入，20位输出（4位国标16插孔+16位10A国标插孔）</w:t>
            </w:r>
          </w:p>
        </w:tc>
        <w:tc>
          <w:tcPr>
            <w:tcW w:w="430" w:type="pct"/>
            <w:shd w:val="clear" w:color="auto" w:fill="auto"/>
            <w:vAlign w:val="center"/>
          </w:tcPr>
          <w:p>
            <w:pPr>
              <w:jc w:val="center"/>
            </w:pPr>
            <w:r>
              <w:rPr>
                <w:rFonts w:hint="eastAsia"/>
              </w:rPr>
              <w:t>1</w:t>
            </w:r>
          </w:p>
        </w:tc>
        <w:tc>
          <w:tcPr>
            <w:tcW w:w="927" w:type="pct"/>
            <w:vAlign w:val="center"/>
          </w:tcPr>
          <w:p>
            <w:pPr>
              <w:jc w:val="center"/>
            </w:pPr>
            <w:r>
              <w:rPr>
                <w:rFonts w:hint="eastAsia" w:cs="等线"/>
                <w:kern w:val="0"/>
              </w:rPr>
              <w:t>9</w:t>
            </w:r>
            <w:r>
              <w:rPr>
                <w:rFonts w:cs="等线"/>
                <w:kern w:val="0"/>
              </w:rPr>
              <w:t>87</w:t>
            </w:r>
          </w:p>
        </w:tc>
      </w:tr>
    </w:tbl>
    <w:p>
      <w:pPr>
        <w:spacing w:line="420" w:lineRule="exact"/>
        <w:ind w:firstLine="480" w:firstLineChars="200"/>
        <w:rPr>
          <w:rFonts w:ascii="宋体" w:hAnsi="宋体" w:cs="宋体"/>
          <w:sz w:val="24"/>
          <w:szCs w:val="24"/>
        </w:rPr>
      </w:pPr>
      <w:r>
        <w:rPr>
          <w:rFonts w:hint="eastAsia" w:ascii="宋体" w:hAnsi="宋体" w:cs="宋体"/>
          <w:sz w:val="24"/>
          <w:szCs w:val="24"/>
        </w:rPr>
        <w:t>（三）评分说明：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1．资格审查及符合性审查：评审由比选方相关人员组成评审小组，并根据比选文件的要求对响应人提交的响应文件进行审查，</w:t>
      </w:r>
      <w:r>
        <w:rPr>
          <w:rFonts w:hint="eastAsia" w:ascii="宋体" w:hAnsi="宋体" w:cs="宋体"/>
          <w:kern w:val="0"/>
          <w:sz w:val="24"/>
          <w:szCs w:val="24"/>
        </w:rPr>
        <w:t>只有资格审查及符合性审查合格的响应人才能继续参与评审。</w:t>
      </w:r>
    </w:p>
    <w:p>
      <w:pPr>
        <w:spacing w:line="420" w:lineRule="exact"/>
        <w:ind w:firstLine="480" w:firstLineChars="200"/>
        <w:rPr>
          <w:rFonts w:ascii="宋体" w:hAnsi="宋体" w:cs="宋体"/>
          <w:kern w:val="0"/>
          <w:sz w:val="24"/>
          <w:szCs w:val="24"/>
        </w:rPr>
      </w:pPr>
      <w:r>
        <w:rPr>
          <w:rFonts w:hint="eastAsia" w:ascii="宋体" w:hAnsi="宋体" w:cs="宋体"/>
          <w:kern w:val="0"/>
          <w:sz w:val="24"/>
          <w:szCs w:val="24"/>
        </w:rPr>
        <w:t>（1）资格审查</w:t>
      </w:r>
    </w:p>
    <w:p>
      <w:pPr>
        <w:spacing w:line="420" w:lineRule="exact"/>
        <w:ind w:firstLine="480" w:firstLineChars="200"/>
        <w:rPr>
          <w:rFonts w:ascii="宋体" w:hAnsi="宋体" w:cs="宋体"/>
          <w:kern w:val="0"/>
          <w:sz w:val="24"/>
          <w:szCs w:val="24"/>
        </w:rPr>
      </w:pPr>
      <w:r>
        <w:rPr>
          <w:rFonts w:hint="eastAsia" w:ascii="宋体" w:hAnsi="宋体" w:cs="宋体"/>
          <w:kern w:val="0"/>
          <w:sz w:val="24"/>
          <w:szCs w:val="24"/>
        </w:rPr>
        <w:t>依据比选文件要求，由评审小组对响应文件中的资格证明文件进行审查。资格审查资料表如下：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4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序号</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检查因素</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rPr>
            </w:pPr>
            <w:r>
              <w:rPr>
                <w:rFonts w:hint="eastAsia" w:ascii="宋体" w:hAnsi="宋体" w:cs="宋体"/>
              </w:rPr>
              <w:t>1</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响应人应符合的基本资格条件</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（1）具有独立承担民事责任的能力</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响应人法人营业执照（副本）或事业单位法人证书（副本）或个体工商户营业执照或有效的自然人身份证明；</w:t>
            </w:r>
          </w:p>
          <w:p>
            <w:pPr>
              <w:spacing w:line="320" w:lineRule="exact"/>
              <w:rPr>
                <w:rFonts w:ascii="宋体" w:hAnsi="宋体"/>
              </w:rPr>
            </w:pPr>
            <w:r>
              <w:rPr>
                <w:rFonts w:hint="eastAsia" w:ascii="宋体" w:hAnsi="宋体" w:cs="宋体"/>
              </w:rPr>
              <w:t>响应人法定代表人（主要负责人）身份证明和法定代表人（主要负责人）授权代表委托书。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（2）具有履行合同所必需的设备和专业技术能力</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响应人提供书面声明或相关证明材料（见格式文件）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（3）参加政府采购活动前三年内，在经营活动中没有重大违法记录</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1.响应人提供书面声明（见格式文件）；</w:t>
            </w:r>
          </w:p>
          <w:p>
            <w:pPr>
              <w:spacing w:line="320" w:lineRule="exact"/>
              <w:jc w:val="left"/>
              <w:rPr>
                <w:rFonts w:ascii="宋体" w:hAnsi="宋体"/>
                <w:b/>
              </w:rPr>
            </w:pPr>
            <w:r>
              <w:rPr>
                <w:rFonts w:hint="eastAsia" w:ascii="宋体" w:hAnsi="宋体" w:cs="宋体"/>
              </w:rPr>
              <w:t>2.比选人将通过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（4）法律、行政法规规定的其他条件</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rPr>
            </w:pPr>
            <w:r>
              <w:rPr>
                <w:rFonts w:hint="eastAsia" w:ascii="宋体" w:hAnsi="宋体" w:cs="宋体"/>
              </w:rPr>
              <w:t>2</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其它资格条件</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符合特定资格要求、不接受联合体参与。</w:t>
            </w:r>
          </w:p>
        </w:tc>
      </w:tr>
    </w:tbl>
    <w:p>
      <w:pPr>
        <w:snapToGrid w:val="0"/>
        <w:spacing w:line="420" w:lineRule="exact"/>
        <w:ind w:firstLine="480" w:firstLineChars="200"/>
        <w:rPr>
          <w:rFonts w:ascii="宋体" w:hAnsi="宋体" w:cs="宋体"/>
          <w:kern w:val="0"/>
          <w:sz w:val="24"/>
          <w:szCs w:val="24"/>
        </w:rPr>
      </w:pPr>
      <w:r>
        <w:rPr>
          <w:rFonts w:hint="eastAsia" w:ascii="宋体" w:hAnsi="宋体" w:cs="宋体"/>
          <w:kern w:val="0"/>
          <w:sz w:val="24"/>
          <w:szCs w:val="24"/>
        </w:rPr>
        <w:t>（2）符合性审查</w:t>
      </w:r>
    </w:p>
    <w:p>
      <w:pPr>
        <w:snapToGrid w:val="0"/>
        <w:spacing w:line="420" w:lineRule="exact"/>
        <w:ind w:firstLine="480" w:firstLineChars="200"/>
        <w:rPr>
          <w:rFonts w:ascii="宋体" w:hAnsi="宋体" w:cs="宋体"/>
          <w:kern w:val="0"/>
          <w:sz w:val="24"/>
          <w:szCs w:val="24"/>
        </w:rPr>
      </w:pPr>
      <w:r>
        <w:rPr>
          <w:rFonts w:hint="eastAsia" w:ascii="宋体" w:hAnsi="宋体" w:cs="宋体"/>
          <w:kern w:val="0"/>
          <w:sz w:val="24"/>
          <w:szCs w:val="24"/>
        </w:rPr>
        <w:t>评审小组应当对符合资格的响应人的响应文件进行符合性审查，以确定其是否满足比选文件的实质性要求。符合性审查资料表如下：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35"/>
        <w:gridCol w:w="1611"/>
        <w:gridCol w:w="5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序号</w:t>
            </w:r>
          </w:p>
        </w:tc>
        <w:tc>
          <w:tcPr>
            <w:tcW w:w="35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评审因素</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1</w:t>
            </w:r>
          </w:p>
        </w:tc>
        <w:tc>
          <w:tcPr>
            <w:tcW w:w="1935"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kern w:val="0"/>
              </w:rPr>
              <w:t>有效性审查</w:t>
            </w: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响应文件签署</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响应文件上法定代表人（主要负责人）或其授权代表人的签字齐全。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93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响应方案</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93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报价唯一</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只能在预算金额和最高限价内报价，只能有一个有效报价，不得提交选择性报价。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2</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kern w:val="0"/>
              </w:rPr>
              <w:t>完整性审查</w:t>
            </w: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响应文件份数</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响应文件正、副本数量符合比选文件要求。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3</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bCs/>
                <w:kern w:val="0"/>
              </w:rPr>
              <w:t>产品技术参数要求</w:t>
            </w: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响应文件内容</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对</w:t>
            </w:r>
            <w:r>
              <w:rPr>
                <w:rFonts w:hint="eastAsia" w:ascii="宋体" w:hAnsi="宋体" w:cs="宋体"/>
                <w:bCs/>
                <w:kern w:val="0"/>
              </w:rPr>
              <w:t>产品技术参数要求</w:t>
            </w:r>
            <w:r>
              <w:rPr>
                <w:rFonts w:hint="eastAsia" w:ascii="宋体" w:hAnsi="宋体" w:cs="宋体"/>
              </w:rPr>
              <w:t>作出响应</w:t>
            </w:r>
            <w:r>
              <w:rPr>
                <w:rFonts w:hint="eastAsia" w:ascii="宋体" w:hAnsi="宋体" w:cs="宋体"/>
                <w:kern w:val="0"/>
              </w:rPr>
              <w:t>。</w:t>
            </w:r>
          </w:p>
        </w:tc>
      </w:tr>
    </w:tbl>
    <w:p>
      <w:pPr>
        <w:spacing w:line="400" w:lineRule="exact"/>
        <w:ind w:firstLine="360" w:firstLineChars="150"/>
        <w:rPr>
          <w:rFonts w:ascii="宋体" w:hAnsi="宋体" w:cs="宋体"/>
          <w:sz w:val="24"/>
          <w:szCs w:val="24"/>
        </w:rPr>
      </w:pPr>
      <w:r>
        <w:rPr>
          <w:rFonts w:hint="eastAsia" w:ascii="宋体" w:hAnsi="宋体" w:cs="宋体"/>
          <w:sz w:val="24"/>
          <w:szCs w:val="24"/>
        </w:rPr>
        <w:t>（3）在对响应文件的有效性、完整性和响应程度进行审查时，可以要求响应人对响应文件中含义不明确、同类问题表述不一致或者有明显文字和计算错误的内容等作出必要的澄清、说明或者更正。响应人的澄清、说明或者更正不得超出响应文件的范围或者改变响应文件的实质性内容。响应人的澄清、说明或者更正应当由法定代表人（主要负责人）或其授权代表签字或者加盖公章。由授权代表签字的，应当附法定代表人（主要负责人）授权书。</w:t>
      </w:r>
    </w:p>
    <w:p>
      <w:pPr>
        <w:spacing w:line="420" w:lineRule="exact"/>
        <w:ind w:firstLine="480" w:firstLineChars="200"/>
        <w:rPr>
          <w:rFonts w:cs="宋体" w:asciiTheme="minorEastAsia" w:hAnsiTheme="minorEastAsia" w:eastAsiaTheme="minorEastAsia"/>
          <w:sz w:val="24"/>
          <w:szCs w:val="24"/>
        </w:rPr>
      </w:pPr>
      <w:r>
        <w:rPr>
          <w:rFonts w:ascii="宋体" w:hAnsi="宋体" w:cs="宋体"/>
          <w:sz w:val="24"/>
          <w:szCs w:val="24"/>
        </w:rPr>
        <w:t>2</w:t>
      </w:r>
      <w:r>
        <w:rPr>
          <w:rFonts w:hint="eastAsia" w:ascii="宋体" w:hAnsi="宋体" w:cs="宋体"/>
          <w:sz w:val="24"/>
          <w:szCs w:val="24"/>
        </w:rPr>
        <w:t>．评审原则：</w:t>
      </w:r>
      <w:r>
        <w:rPr>
          <w:rFonts w:hint="eastAsia" w:cs="宋体" w:asciiTheme="minorEastAsia" w:hAnsiTheme="minorEastAsia" w:eastAsiaTheme="minorEastAsia"/>
          <w:sz w:val="24"/>
          <w:szCs w:val="24"/>
        </w:rPr>
        <w:t xml:space="preserve">在满足比选文件的基础上，采取如下评分规则计分（以总价价格作为评审依据）。评分计算规则为：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8"/>
        <w:gridCol w:w="6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378" w:type="dxa"/>
            <w:vAlign w:val="center"/>
          </w:tcPr>
          <w:p>
            <w:pPr>
              <w:spacing w:line="320" w:lineRule="exact"/>
              <w:jc w:val="center"/>
              <w:rPr>
                <w:rFonts w:asciiTheme="minorEastAsia" w:hAnsiTheme="minorEastAsia" w:eastAsiaTheme="minorEastAsia"/>
              </w:rPr>
            </w:pPr>
            <w:r>
              <w:rPr>
                <w:rFonts w:hint="eastAsia" w:asciiTheme="minorEastAsia" w:hAnsiTheme="minorEastAsia" w:eastAsiaTheme="minorEastAsia"/>
              </w:rPr>
              <w:t>评审因素</w:t>
            </w:r>
          </w:p>
        </w:tc>
        <w:tc>
          <w:tcPr>
            <w:tcW w:w="6488" w:type="dxa"/>
            <w:vAlign w:val="center"/>
          </w:tcPr>
          <w:p>
            <w:pPr>
              <w:spacing w:line="320" w:lineRule="exact"/>
              <w:jc w:val="center"/>
              <w:rPr>
                <w:rFonts w:asciiTheme="minorEastAsia" w:hAnsiTheme="minorEastAsia" w:eastAsiaTheme="minorEastAsia"/>
              </w:rPr>
            </w:pPr>
            <w:r>
              <w:rPr>
                <w:rFonts w:hint="eastAsia" w:asciiTheme="minorEastAsia" w:hAnsiTheme="minorEastAsia" w:eastAsiaTheme="minor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378" w:type="dxa"/>
            <w:vAlign w:val="center"/>
          </w:tcPr>
          <w:p>
            <w:pPr>
              <w:spacing w:line="320" w:lineRule="exact"/>
              <w:jc w:val="left"/>
              <w:rPr>
                <w:rFonts w:asciiTheme="minorEastAsia" w:hAnsiTheme="minorEastAsia" w:eastAsiaTheme="minorEastAsia"/>
              </w:rPr>
            </w:pPr>
            <w:r>
              <w:rPr>
                <w:rFonts w:hint="eastAsia" w:asciiTheme="minorEastAsia" w:hAnsiTheme="minorEastAsia" w:eastAsiaTheme="minorEastAsia"/>
              </w:rPr>
              <w:t xml:space="preserve">分值构成 </w:t>
            </w:r>
            <w:r>
              <w:rPr>
                <w:rFonts w:asciiTheme="minorEastAsia" w:hAnsiTheme="minorEastAsia" w:eastAsiaTheme="minorEastAsia"/>
              </w:rPr>
              <w:t>(</w:t>
            </w:r>
            <w:r>
              <w:rPr>
                <w:rFonts w:hint="eastAsia" w:asciiTheme="minorEastAsia" w:hAnsiTheme="minorEastAsia" w:eastAsiaTheme="minorEastAsia"/>
              </w:rPr>
              <w:t>总分</w:t>
            </w:r>
            <w:r>
              <w:rPr>
                <w:rFonts w:asciiTheme="minorEastAsia" w:hAnsiTheme="minorEastAsia" w:eastAsiaTheme="minorEastAsia"/>
              </w:rPr>
              <w:t>1OO</w:t>
            </w:r>
            <w:r>
              <w:rPr>
                <w:rFonts w:hint="eastAsia" w:asciiTheme="minorEastAsia" w:hAnsiTheme="minorEastAsia" w:eastAsiaTheme="minorEastAsia"/>
              </w:rPr>
              <w:t>分</w:t>
            </w:r>
            <w:r>
              <w:rPr>
                <w:rFonts w:asciiTheme="minorEastAsia" w:hAnsiTheme="minorEastAsia" w:eastAsiaTheme="minorEastAsia"/>
              </w:rPr>
              <w:t>)</w:t>
            </w:r>
          </w:p>
        </w:tc>
        <w:tc>
          <w:tcPr>
            <w:tcW w:w="6488"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比选总报价得分</w:t>
            </w:r>
            <w:r>
              <w:rPr>
                <w:rFonts w:hint="eastAsia" w:asciiTheme="minorEastAsia" w:hAnsiTheme="minorEastAsia" w:eastAsiaTheme="minorEastAsia"/>
                <w:u w:val="single"/>
              </w:rPr>
              <w:t>　100　</w:t>
            </w:r>
            <w:r>
              <w:rPr>
                <w:rFonts w:hint="eastAsia" w:asciiTheme="minorEastAsia" w:hAnsiTheme="minorEastAsia" w:eastAsiaTheme="minor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378" w:type="dxa"/>
            <w:vAlign w:val="center"/>
          </w:tcPr>
          <w:p>
            <w:pPr>
              <w:spacing w:line="320" w:lineRule="exact"/>
              <w:jc w:val="left"/>
              <w:rPr>
                <w:rFonts w:cs="宋体" w:asciiTheme="minorEastAsia" w:hAnsiTheme="minorEastAsia" w:eastAsiaTheme="minorEastAsia"/>
              </w:rPr>
            </w:pPr>
            <w:r>
              <w:rPr>
                <w:rFonts w:cs="宋体" w:asciiTheme="minorEastAsia" w:hAnsiTheme="minorEastAsia" w:eastAsiaTheme="minorEastAsia"/>
              </w:rPr>
              <w:t>评审基准价计算方法</w:t>
            </w:r>
          </w:p>
        </w:tc>
        <w:tc>
          <w:tcPr>
            <w:tcW w:w="6488" w:type="dxa"/>
            <w:vAlign w:val="center"/>
          </w:tcPr>
          <w:p>
            <w:pPr>
              <w:widowControl/>
              <w:spacing w:line="320" w:lineRule="exact"/>
              <w:jc w:val="left"/>
              <w:textAlignment w:val="center"/>
              <w:rPr>
                <w:rFonts w:asciiTheme="minorEastAsia" w:hAnsiTheme="minorEastAsia" w:eastAsiaTheme="minorEastAsia"/>
              </w:rPr>
            </w:pPr>
            <w:r>
              <w:rPr>
                <w:rFonts w:hint="eastAsia" w:cs="宋体" w:asciiTheme="minorEastAsia" w:hAnsiTheme="minorEastAsia" w:eastAsiaTheme="minorEastAsia"/>
              </w:rPr>
              <w:t>所有</w:t>
            </w:r>
            <w:r>
              <w:rPr>
                <w:rFonts w:cs="宋体" w:asciiTheme="minorEastAsia" w:hAnsiTheme="minorEastAsia" w:eastAsiaTheme="minorEastAsia"/>
              </w:rPr>
              <w:t>通过初步评审合格</w:t>
            </w:r>
            <w:r>
              <w:rPr>
                <w:rFonts w:hint="eastAsia" w:cs="宋体" w:asciiTheme="minorEastAsia" w:hAnsiTheme="minorEastAsia" w:eastAsiaTheme="minorEastAsia"/>
              </w:rPr>
              <w:t>的响应人的报价中去掉六分之一（不能整除的按小数点前整数取整，不足六家则不去掉）的最低报价和相同家数的最高报价后的算术平均值作为报价的评标基准价。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378" w:type="dxa"/>
            <w:vAlign w:val="center"/>
          </w:tcPr>
          <w:p>
            <w:pPr>
              <w:spacing w:line="320" w:lineRule="exact"/>
              <w:jc w:val="left"/>
              <w:rPr>
                <w:rFonts w:asciiTheme="minorEastAsia" w:hAnsiTheme="minorEastAsia" w:eastAsiaTheme="minorEastAsia"/>
              </w:rPr>
            </w:pPr>
            <w:r>
              <w:rPr>
                <w:rFonts w:cs="宋体" w:asciiTheme="minorEastAsia" w:hAnsiTheme="minorEastAsia" w:eastAsiaTheme="minorEastAsia"/>
              </w:rPr>
              <w:t>偏差值计算公式</w:t>
            </w:r>
          </w:p>
        </w:tc>
        <w:tc>
          <w:tcPr>
            <w:tcW w:w="6488" w:type="dxa"/>
            <w:vAlign w:val="center"/>
          </w:tcPr>
          <w:p>
            <w:pPr>
              <w:widowControl/>
              <w:spacing w:line="320" w:lineRule="exact"/>
              <w:jc w:val="left"/>
              <w:rPr>
                <w:rFonts w:cs="宋体" w:asciiTheme="minorEastAsia" w:hAnsiTheme="minorEastAsia" w:eastAsiaTheme="minorEastAsia"/>
              </w:rPr>
            </w:pPr>
            <w:r>
              <w:rPr>
                <w:rFonts w:hint="eastAsia" w:cs="宋体" w:asciiTheme="minorEastAsia" w:hAnsiTheme="minorEastAsia" w:eastAsiaTheme="minorEastAsia"/>
              </w:rPr>
              <w:t xml:space="preserve">偏差值=100×（响应人的报价－评审基准价）/评审基准价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378" w:type="dxa"/>
            <w:vAlign w:val="center"/>
          </w:tcPr>
          <w:p>
            <w:pPr>
              <w:spacing w:line="320" w:lineRule="exact"/>
              <w:jc w:val="left"/>
              <w:rPr>
                <w:rFonts w:cs="宋体" w:asciiTheme="minorEastAsia" w:hAnsiTheme="minorEastAsia" w:eastAsiaTheme="minorEastAsia"/>
              </w:rPr>
            </w:pPr>
            <w:r>
              <w:rPr>
                <w:rFonts w:cs="宋体" w:asciiTheme="minorEastAsia" w:hAnsiTheme="minorEastAsia" w:eastAsiaTheme="minorEastAsia"/>
              </w:rPr>
              <w:t>比选报价得分计算方法</w:t>
            </w:r>
          </w:p>
        </w:tc>
        <w:tc>
          <w:tcPr>
            <w:tcW w:w="6488" w:type="dxa"/>
            <w:vAlign w:val="center"/>
          </w:tcPr>
          <w:p>
            <w:pPr>
              <w:spacing w:line="320" w:lineRule="exact"/>
              <w:rPr>
                <w:rFonts w:cs="宋体" w:asciiTheme="minorEastAsia" w:hAnsiTheme="minorEastAsia" w:eastAsiaTheme="minorEastAsia"/>
              </w:rPr>
            </w:pPr>
            <w:r>
              <w:rPr>
                <w:rFonts w:hint="eastAsia" w:cs="宋体" w:asciiTheme="minorEastAsia" w:hAnsiTheme="minorEastAsia" w:eastAsiaTheme="minorEastAsia"/>
              </w:rPr>
              <w:t>若响应人的报价&gt;评审基准价，响应人的比选报价得分=100-|评分偏差值*1|；</w:t>
            </w:r>
          </w:p>
          <w:p>
            <w:pPr>
              <w:spacing w:line="320" w:lineRule="exact"/>
              <w:rPr>
                <w:rFonts w:cs="宋体" w:asciiTheme="minorEastAsia" w:hAnsiTheme="minorEastAsia" w:eastAsiaTheme="minorEastAsia"/>
              </w:rPr>
            </w:pPr>
            <w:r>
              <w:rPr>
                <w:rFonts w:hint="eastAsia" w:cs="宋体" w:asciiTheme="minorEastAsia" w:hAnsiTheme="minorEastAsia" w:eastAsiaTheme="minorEastAsia"/>
              </w:rPr>
              <w:t>若响应人的报价&lt;评审基准价，响应人的比选报价得分=100-|评分偏差值*0.5|</w:t>
            </w:r>
          </w:p>
          <w:p>
            <w:pPr>
              <w:spacing w:line="320" w:lineRule="exact"/>
              <w:rPr>
                <w:rFonts w:cs="宋体" w:asciiTheme="minorEastAsia" w:hAnsiTheme="minorEastAsia" w:eastAsiaTheme="minorEastAsia"/>
              </w:rPr>
            </w:pPr>
            <w:r>
              <w:rPr>
                <w:rFonts w:hint="eastAsia" w:cs="宋体" w:asciiTheme="minorEastAsia" w:hAnsiTheme="minorEastAsia" w:eastAsiaTheme="minorEastAsia"/>
              </w:rPr>
              <w:t>未参与评审基准价计算的有效的响应报价，仍应参加计算相应分值。</w:t>
            </w:r>
          </w:p>
          <w:p>
            <w:pPr>
              <w:pStyle w:val="2"/>
              <w:spacing w:after="0" w:line="320" w:lineRule="exact"/>
              <w:ind w:left="0" w:leftChars="0" w:firstLine="0" w:firstLineChars="0"/>
              <w:rPr>
                <w:rFonts w:asciiTheme="minorEastAsia" w:hAnsiTheme="minorEastAsia" w:eastAsiaTheme="minorEastAsia"/>
              </w:rPr>
            </w:pPr>
            <w:r>
              <w:rPr>
                <w:rFonts w:hint="eastAsia" w:asciiTheme="minorEastAsia" w:hAnsiTheme="minorEastAsia" w:eastAsiaTheme="minorEastAsia"/>
              </w:rPr>
              <w:t>比选报价得分保</w:t>
            </w:r>
            <w:r>
              <w:rPr>
                <w:rFonts w:hint="eastAsia" w:ascii="宋体" w:hAnsi="宋体" w:cs="宋体"/>
              </w:rPr>
              <w:t>留小数点后两位，小数点后第三位“四舍五入”。</w:t>
            </w:r>
          </w:p>
          <w:p>
            <w:pPr>
              <w:pStyle w:val="2"/>
              <w:spacing w:after="0" w:line="320" w:lineRule="exact"/>
              <w:ind w:left="0" w:leftChars="0" w:firstLine="0" w:firstLineChars="0"/>
              <w:rPr>
                <w:rFonts w:asciiTheme="minorEastAsia" w:hAnsiTheme="minorEastAsia" w:eastAsiaTheme="minorEastAsia"/>
              </w:rPr>
            </w:pPr>
            <w:r>
              <w:rPr>
                <w:rFonts w:hint="eastAsia" w:asciiTheme="minorEastAsia" w:hAnsiTheme="minorEastAsia" w:eastAsiaTheme="minorEastAsia"/>
              </w:rPr>
              <w:t>得分计算示例：</w:t>
            </w:r>
          </w:p>
          <w:p>
            <w:pPr>
              <w:pStyle w:val="2"/>
              <w:spacing w:after="0" w:line="320" w:lineRule="exact"/>
              <w:ind w:left="0" w:leftChars="0" w:firstLine="0" w:firstLineChars="0"/>
              <w:rPr>
                <w:rFonts w:asciiTheme="minorEastAsia" w:hAnsiTheme="minorEastAsia" w:eastAsiaTheme="minorEastAsia"/>
              </w:rPr>
            </w:pPr>
            <w:r>
              <w:rPr>
                <w:rFonts w:hint="eastAsia" w:asciiTheme="minorEastAsia" w:hAnsiTheme="minorEastAsia" w:eastAsiaTheme="minorEastAsia"/>
              </w:rPr>
              <w:t>若响应人A的报价为9，评审基准价若为8，</w:t>
            </w:r>
          </w:p>
          <w:p>
            <w:pPr>
              <w:pStyle w:val="2"/>
              <w:spacing w:after="0" w:line="320" w:lineRule="exact"/>
              <w:ind w:left="0" w:leftChars="0" w:firstLine="0" w:firstLineChars="0"/>
              <w:rPr>
                <w:rFonts w:asciiTheme="minorEastAsia" w:hAnsiTheme="minorEastAsia" w:eastAsiaTheme="minorEastAsia"/>
              </w:rPr>
            </w:pPr>
            <w:r>
              <w:rPr>
                <w:rFonts w:hint="eastAsia" w:asciiTheme="minorEastAsia" w:hAnsiTheme="minorEastAsia" w:eastAsiaTheme="minorEastAsia"/>
              </w:rPr>
              <w:t>则响应人A的得分为100-</w:t>
            </w:r>
            <w:r>
              <w:rPr>
                <w:rFonts w:hint="eastAsia" w:cs="宋体" w:asciiTheme="minorEastAsia" w:hAnsiTheme="minorEastAsia" w:eastAsiaTheme="minorEastAsia"/>
              </w:rPr>
              <w:t>|</w:t>
            </w:r>
            <w:r>
              <w:rPr>
                <w:rFonts w:hint="eastAsia" w:asciiTheme="minorEastAsia" w:hAnsiTheme="minorEastAsia" w:eastAsiaTheme="minorEastAsia"/>
              </w:rPr>
              <w:t>（</w:t>
            </w:r>
            <w:r>
              <w:rPr>
                <w:rFonts w:asciiTheme="minorEastAsia" w:hAnsiTheme="minorEastAsia" w:eastAsiaTheme="minorEastAsia"/>
              </w:rPr>
              <w:t>9</w:t>
            </w:r>
            <w:r>
              <w:rPr>
                <w:rFonts w:hint="eastAsia" w:asciiTheme="minorEastAsia" w:hAnsiTheme="minorEastAsia" w:eastAsiaTheme="minorEastAsia"/>
              </w:rPr>
              <w:t>-</w:t>
            </w:r>
            <w:r>
              <w:rPr>
                <w:rFonts w:asciiTheme="minorEastAsia" w:hAnsiTheme="minorEastAsia" w:eastAsiaTheme="minorEastAsia"/>
              </w:rPr>
              <w:t>8</w:t>
            </w:r>
            <w:r>
              <w:rPr>
                <w:rFonts w:hint="eastAsia" w:asciiTheme="minorEastAsia" w:hAnsiTheme="minorEastAsia" w:eastAsiaTheme="minorEastAsia"/>
              </w:rPr>
              <w:t>）/</w:t>
            </w:r>
            <w:r>
              <w:rPr>
                <w:rFonts w:asciiTheme="minorEastAsia" w:hAnsiTheme="minorEastAsia" w:eastAsiaTheme="minorEastAsia"/>
              </w:rPr>
              <w:t>8</w:t>
            </w:r>
            <w:r>
              <w:rPr>
                <w:rFonts w:hint="eastAsia" w:asciiTheme="minorEastAsia" w:hAnsiTheme="minorEastAsia" w:eastAsiaTheme="minorEastAsia"/>
              </w:rPr>
              <w:t>×100×1</w:t>
            </w:r>
            <w:r>
              <w:rPr>
                <w:rFonts w:hint="eastAsia" w:cs="宋体" w:asciiTheme="minorEastAsia" w:hAnsiTheme="minorEastAsia" w:eastAsiaTheme="minorEastAsia"/>
              </w:rPr>
              <w:t>|</w:t>
            </w:r>
            <w:r>
              <w:rPr>
                <w:rFonts w:hint="eastAsia" w:asciiTheme="minorEastAsia" w:hAnsiTheme="minorEastAsia" w:eastAsiaTheme="minorEastAsia"/>
              </w:rPr>
              <w:t>=87.5分。</w:t>
            </w:r>
          </w:p>
          <w:p>
            <w:pPr>
              <w:pStyle w:val="2"/>
              <w:spacing w:after="0" w:line="320" w:lineRule="exact"/>
              <w:ind w:left="0" w:leftChars="0" w:firstLine="0" w:firstLineChars="0"/>
              <w:rPr>
                <w:rFonts w:asciiTheme="minorEastAsia" w:hAnsiTheme="minorEastAsia" w:eastAsiaTheme="minorEastAsia"/>
              </w:rPr>
            </w:pPr>
            <w:r>
              <w:rPr>
                <w:rFonts w:hint="eastAsia" w:asciiTheme="minorEastAsia" w:hAnsiTheme="minorEastAsia" w:eastAsiaTheme="minorEastAsia"/>
              </w:rPr>
              <w:t>若响应人B的报价为7，评审基准价若为</w:t>
            </w:r>
            <w:r>
              <w:rPr>
                <w:rFonts w:asciiTheme="minorEastAsia" w:hAnsiTheme="minorEastAsia" w:eastAsiaTheme="minorEastAsia"/>
              </w:rPr>
              <w:t>8</w:t>
            </w:r>
            <w:r>
              <w:rPr>
                <w:rFonts w:hint="eastAsia" w:asciiTheme="minorEastAsia" w:hAnsiTheme="minorEastAsia" w:eastAsiaTheme="minorEastAsia"/>
              </w:rPr>
              <w:t>，</w:t>
            </w:r>
          </w:p>
          <w:p>
            <w:pPr>
              <w:pStyle w:val="2"/>
              <w:spacing w:after="0" w:line="320" w:lineRule="exact"/>
              <w:ind w:left="0" w:leftChars="0" w:firstLine="0" w:firstLineChars="0"/>
              <w:rPr>
                <w:rFonts w:asciiTheme="minorEastAsia" w:hAnsiTheme="minorEastAsia" w:eastAsiaTheme="minorEastAsia"/>
              </w:rPr>
            </w:pPr>
            <w:r>
              <w:rPr>
                <w:rFonts w:hint="eastAsia" w:asciiTheme="minorEastAsia" w:hAnsiTheme="minorEastAsia" w:eastAsiaTheme="minorEastAsia"/>
              </w:rPr>
              <w:t>则响应人B的得分为100-</w:t>
            </w:r>
            <w:r>
              <w:rPr>
                <w:rFonts w:hint="eastAsia" w:cs="宋体" w:asciiTheme="minorEastAsia" w:hAnsiTheme="minorEastAsia" w:eastAsiaTheme="minorEastAsia"/>
              </w:rPr>
              <w:t>|</w:t>
            </w:r>
            <w:r>
              <w:rPr>
                <w:rFonts w:hint="eastAsia" w:asciiTheme="minorEastAsia" w:hAnsiTheme="minorEastAsia" w:eastAsiaTheme="minorEastAsia"/>
              </w:rPr>
              <w:t>（</w:t>
            </w:r>
            <w:r>
              <w:rPr>
                <w:rFonts w:asciiTheme="minorEastAsia" w:hAnsiTheme="minorEastAsia" w:eastAsiaTheme="minorEastAsia"/>
              </w:rPr>
              <w:t>7</w:t>
            </w:r>
            <w:r>
              <w:rPr>
                <w:rFonts w:hint="eastAsia" w:asciiTheme="minorEastAsia" w:hAnsiTheme="minorEastAsia" w:eastAsiaTheme="minorEastAsia"/>
              </w:rPr>
              <w:t>-</w:t>
            </w:r>
            <w:r>
              <w:rPr>
                <w:rFonts w:asciiTheme="minorEastAsia" w:hAnsiTheme="minorEastAsia" w:eastAsiaTheme="minorEastAsia"/>
              </w:rPr>
              <w:t>8</w:t>
            </w:r>
            <w:r>
              <w:rPr>
                <w:rFonts w:hint="eastAsia" w:asciiTheme="minorEastAsia" w:hAnsiTheme="minorEastAsia" w:eastAsiaTheme="minorEastAsia"/>
              </w:rPr>
              <w:t>）/</w:t>
            </w:r>
            <w:r>
              <w:rPr>
                <w:rFonts w:asciiTheme="minorEastAsia" w:hAnsiTheme="minorEastAsia" w:eastAsiaTheme="minorEastAsia"/>
              </w:rPr>
              <w:t>8</w:t>
            </w:r>
            <w:r>
              <w:rPr>
                <w:rFonts w:hint="eastAsia" w:asciiTheme="minorEastAsia" w:hAnsiTheme="minorEastAsia" w:eastAsiaTheme="minorEastAsia"/>
              </w:rPr>
              <w:t>×100×</w:t>
            </w:r>
            <w:r>
              <w:rPr>
                <w:rFonts w:asciiTheme="minorEastAsia" w:hAnsiTheme="minorEastAsia" w:eastAsiaTheme="minorEastAsia"/>
              </w:rPr>
              <w:t>0.5</w:t>
            </w:r>
            <w:r>
              <w:rPr>
                <w:rFonts w:hint="eastAsia" w:cs="宋体" w:asciiTheme="minorEastAsia" w:hAnsiTheme="minorEastAsia" w:eastAsiaTheme="minorEastAsia"/>
              </w:rPr>
              <w:t>|</w:t>
            </w:r>
            <w:r>
              <w:rPr>
                <w:rFonts w:hint="eastAsia" w:asciiTheme="minorEastAsia" w:hAnsiTheme="minorEastAsia" w:eastAsiaTheme="minorEastAsia"/>
              </w:rPr>
              <w:t>=93</w:t>
            </w:r>
            <w:r>
              <w:rPr>
                <w:rFonts w:asciiTheme="minorEastAsia" w:hAnsiTheme="minorEastAsia" w:eastAsiaTheme="minorEastAsia"/>
              </w:rPr>
              <w:t>.75</w:t>
            </w:r>
            <w:r>
              <w:rPr>
                <w:rFonts w:hint="eastAsia" w:asciiTheme="minorEastAsia" w:hAnsiTheme="minorEastAsia" w:eastAsiaTheme="minorEastAsia"/>
              </w:rPr>
              <w:t>分。</w:t>
            </w:r>
          </w:p>
        </w:tc>
      </w:tr>
    </w:tbl>
    <w:p>
      <w:pPr>
        <w:spacing w:line="420" w:lineRule="exact"/>
        <w:ind w:firstLine="480" w:firstLineChars="200"/>
        <w:rPr>
          <w:rFonts w:ascii="宋体" w:cs="宋体"/>
          <w:sz w:val="24"/>
          <w:szCs w:val="24"/>
        </w:rPr>
      </w:pPr>
      <w:r>
        <w:rPr>
          <w:rFonts w:hint="eastAsia" w:ascii="宋体" w:hAnsi="宋体" w:cs="宋体"/>
          <w:bCs/>
          <w:sz w:val="24"/>
          <w:szCs w:val="24"/>
        </w:rPr>
        <w:t>按最终评分高低进行排序推荐中选人</w:t>
      </w:r>
      <w:r>
        <w:rPr>
          <w:rFonts w:hint="eastAsia" w:cs="宋体" w:asciiTheme="minorEastAsia" w:hAnsiTheme="minorEastAsia" w:eastAsiaTheme="minorEastAsia"/>
          <w:sz w:val="24"/>
          <w:szCs w:val="24"/>
        </w:rPr>
        <w:t>，若得分相同，</w:t>
      </w:r>
      <w:r>
        <w:rPr>
          <w:rFonts w:hint="eastAsia" w:ascii="宋体" w:hAnsi="宋体" w:cs="宋体"/>
          <w:bCs/>
          <w:sz w:val="24"/>
          <w:szCs w:val="24"/>
        </w:rPr>
        <w:t>则由评审小组投票决定</w:t>
      </w:r>
      <w:r>
        <w:rPr>
          <w:rFonts w:hint="eastAsia" w:ascii="宋体" w:hAnsi="宋体" w:cs="宋体"/>
          <w:sz w:val="24"/>
          <w:szCs w:val="24"/>
        </w:rPr>
        <w:t>。凡参加本次比选的响应人均被视为接受上述项目的比选条款。</w:t>
      </w:r>
    </w:p>
    <w:p>
      <w:pPr>
        <w:spacing w:line="440" w:lineRule="exact"/>
        <w:ind w:firstLine="482" w:firstLineChars="200"/>
        <w:rPr>
          <w:rFonts w:ascii="宋体" w:cs="宋体"/>
          <w:b/>
          <w:bCs/>
          <w:sz w:val="24"/>
          <w:szCs w:val="24"/>
        </w:rPr>
      </w:pPr>
      <w:r>
        <w:rPr>
          <w:rFonts w:hint="eastAsia" w:ascii="宋体" w:hAnsi="宋体" w:cs="宋体"/>
          <w:b/>
          <w:bCs/>
          <w:sz w:val="24"/>
          <w:szCs w:val="24"/>
        </w:rPr>
        <w:t>四、响应人不足的情形</w:t>
      </w:r>
    </w:p>
    <w:p>
      <w:pPr>
        <w:spacing w:line="420" w:lineRule="exact"/>
        <w:ind w:firstLine="480" w:firstLineChars="200"/>
        <w:jc w:val="left"/>
        <w:rPr>
          <w:rFonts w:ascii="宋体" w:cs="宋体"/>
          <w:sz w:val="24"/>
          <w:szCs w:val="24"/>
        </w:rPr>
      </w:pPr>
      <w:r>
        <w:rPr>
          <w:rFonts w:hint="eastAsia" w:ascii="宋体" w:hAnsi="宋体" w:cs="宋体"/>
          <w:sz w:val="24"/>
          <w:szCs w:val="24"/>
        </w:rPr>
        <w:t>有下列情形之一的，比选人将重新组织比选：</w:t>
      </w:r>
    </w:p>
    <w:p>
      <w:pPr>
        <w:spacing w:line="420" w:lineRule="exact"/>
        <w:ind w:firstLine="480" w:firstLineChars="200"/>
        <w:jc w:val="left"/>
        <w:rPr>
          <w:rFonts w:ascii="宋体" w:cs="宋体"/>
          <w:sz w:val="24"/>
          <w:szCs w:val="24"/>
        </w:rPr>
      </w:pPr>
      <w:r>
        <w:rPr>
          <w:rFonts w:ascii="宋体" w:hAnsi="宋体" w:cs="宋体"/>
          <w:sz w:val="24"/>
          <w:szCs w:val="24"/>
        </w:rPr>
        <w:t>1</w:t>
      </w:r>
      <w:r>
        <w:rPr>
          <w:rFonts w:hint="eastAsia" w:ascii="宋体" w:hAnsi="宋体" w:cs="宋体"/>
          <w:sz w:val="24"/>
          <w:szCs w:val="24"/>
        </w:rPr>
        <w:t>．截止时间止，响应人少于</w:t>
      </w:r>
      <w:r>
        <w:rPr>
          <w:rFonts w:ascii="宋体" w:hAnsi="宋体" w:cs="宋体"/>
          <w:sz w:val="24"/>
          <w:szCs w:val="24"/>
        </w:rPr>
        <w:t xml:space="preserve"> 3 </w:t>
      </w:r>
      <w:r>
        <w:rPr>
          <w:rFonts w:hint="eastAsia" w:ascii="宋体" w:hAnsi="宋体" w:cs="宋体"/>
          <w:sz w:val="24"/>
          <w:szCs w:val="24"/>
        </w:rPr>
        <w:t>个的；</w:t>
      </w:r>
    </w:p>
    <w:p>
      <w:pPr>
        <w:spacing w:line="420" w:lineRule="exact"/>
        <w:ind w:firstLine="480" w:firstLineChars="200"/>
        <w:jc w:val="left"/>
        <w:rPr>
          <w:rFonts w:ascii="宋体" w:cs="宋体"/>
          <w:sz w:val="24"/>
          <w:szCs w:val="24"/>
        </w:rPr>
      </w:pPr>
      <w:r>
        <w:rPr>
          <w:rFonts w:ascii="宋体" w:hAnsi="宋体" w:cs="宋体"/>
          <w:sz w:val="24"/>
          <w:szCs w:val="24"/>
        </w:rPr>
        <w:t>2</w:t>
      </w:r>
      <w:r>
        <w:rPr>
          <w:rFonts w:hint="eastAsia" w:ascii="宋体" w:hAnsi="宋体" w:cs="宋体"/>
          <w:sz w:val="24"/>
          <w:szCs w:val="24"/>
        </w:rPr>
        <w:t>．经评审后，如有效响应人不足三个的，评审小组可以否决全部响应人，比选人将重新组织比选。</w:t>
      </w:r>
    </w:p>
    <w:p>
      <w:pPr>
        <w:spacing w:line="420" w:lineRule="exact"/>
        <w:ind w:firstLine="480" w:firstLineChars="200"/>
        <w:rPr>
          <w:rFonts w:ascii="宋体" w:cs="宋体"/>
          <w:sz w:val="24"/>
          <w:szCs w:val="24"/>
        </w:rPr>
      </w:pPr>
      <w:r>
        <w:rPr>
          <w:rFonts w:hint="eastAsia" w:ascii="宋体" w:hAnsi="宋体" w:cs="宋体"/>
          <w:sz w:val="24"/>
          <w:szCs w:val="24"/>
        </w:rPr>
        <w:t>重新比选后响应人仍少于</w:t>
      </w:r>
      <w:r>
        <w:rPr>
          <w:rFonts w:ascii="宋体" w:hAnsi="宋体" w:cs="宋体"/>
          <w:sz w:val="24"/>
          <w:szCs w:val="24"/>
        </w:rPr>
        <w:t>3</w:t>
      </w:r>
      <w:r>
        <w:rPr>
          <w:rFonts w:hint="eastAsia" w:ascii="宋体" w:hAnsi="宋体" w:cs="宋体"/>
          <w:sz w:val="24"/>
          <w:szCs w:val="24"/>
        </w:rPr>
        <w:t>个，由评审小组商议决定是否按法定程序比选和评审，确定中选人或转变采购方式。</w:t>
      </w:r>
    </w:p>
    <w:p>
      <w:pPr>
        <w:spacing w:line="420" w:lineRule="exact"/>
        <w:ind w:firstLine="482" w:firstLineChars="200"/>
        <w:rPr>
          <w:rFonts w:ascii="宋体" w:cs="宋体"/>
          <w:sz w:val="24"/>
          <w:szCs w:val="24"/>
        </w:rPr>
      </w:pPr>
      <w:r>
        <w:rPr>
          <w:rFonts w:hint="eastAsia" w:ascii="宋体" w:hAnsi="宋体" w:cs="宋体"/>
          <w:b/>
          <w:bCs/>
          <w:sz w:val="24"/>
          <w:szCs w:val="24"/>
        </w:rPr>
        <w:t>五、比选有效期</w:t>
      </w:r>
      <w:r>
        <w:rPr>
          <w:rFonts w:hint="eastAsia" w:ascii="宋体" w:hAnsi="宋体" w:cs="宋体"/>
          <w:sz w:val="24"/>
          <w:szCs w:val="24"/>
        </w:rPr>
        <w:t>：90日历天。（从提交响应文件截止日起计算）</w:t>
      </w:r>
    </w:p>
    <w:p>
      <w:pPr>
        <w:spacing w:line="420" w:lineRule="exact"/>
        <w:ind w:firstLine="482" w:firstLineChars="200"/>
        <w:rPr>
          <w:rFonts w:ascii="宋体" w:hAnsi="宋体" w:cs="宋体"/>
          <w:sz w:val="24"/>
          <w:szCs w:val="24"/>
        </w:rPr>
      </w:pPr>
      <w:r>
        <w:rPr>
          <w:rFonts w:hint="eastAsia" w:ascii="宋体" w:hAnsi="宋体" w:cs="宋体"/>
          <w:b/>
          <w:bCs/>
          <w:sz w:val="24"/>
          <w:szCs w:val="24"/>
        </w:rPr>
        <w:t>六、付款方式</w:t>
      </w:r>
      <w:r>
        <w:rPr>
          <w:rFonts w:hint="eastAsia" w:ascii="宋体" w:hAnsi="宋体" w:cs="宋体"/>
          <w:sz w:val="24"/>
          <w:szCs w:val="24"/>
        </w:rPr>
        <w:t>：</w:t>
      </w:r>
    </w:p>
    <w:p>
      <w:pPr>
        <w:spacing w:line="420" w:lineRule="exact"/>
        <w:ind w:firstLine="480" w:firstLineChars="200"/>
        <w:rPr>
          <w:rFonts w:ascii="宋体" w:hAnsi="宋体" w:cs="宋体"/>
          <w:sz w:val="24"/>
          <w:szCs w:val="24"/>
        </w:rPr>
      </w:pPr>
      <w:r>
        <w:rPr>
          <w:rFonts w:hint="eastAsia" w:ascii="宋体" w:hAnsi="宋体" w:cs="宋体"/>
          <w:sz w:val="24"/>
          <w:szCs w:val="24"/>
        </w:rPr>
        <w:t>1、采购物资以备品备件清单表中项目的单价和实际采购数量为准，每月支付采购费用。</w:t>
      </w:r>
    </w:p>
    <w:p>
      <w:pPr>
        <w:spacing w:line="440" w:lineRule="exact"/>
        <w:ind w:firstLine="480" w:firstLineChars="200"/>
        <w:rPr>
          <w:rFonts w:cs="宋体" w:asciiTheme="minorEastAsia" w:hAnsiTheme="minorEastAsia" w:eastAsiaTheme="minorEastAsia"/>
          <w:sz w:val="24"/>
          <w:szCs w:val="24"/>
        </w:rPr>
      </w:pPr>
      <w:r>
        <w:rPr>
          <w:rFonts w:hint="eastAsia" w:ascii="宋体" w:hAnsi="宋体" w:cs="宋体"/>
          <w:sz w:val="24"/>
          <w:szCs w:val="24"/>
        </w:rPr>
        <w:t>2、</w:t>
      </w:r>
      <w:r>
        <w:rPr>
          <w:rFonts w:hint="eastAsia" w:cs="宋体" w:asciiTheme="minorEastAsia" w:hAnsiTheme="minorEastAsia" w:eastAsiaTheme="minorEastAsia"/>
          <w:sz w:val="24"/>
          <w:szCs w:val="24"/>
        </w:rPr>
        <w:t>合同执行期间采购物品不属于备品备件清单表中项目但仍为项目所用配件将采用临时询价方式，价格同为最低时优先向中选单位采购。</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3、配件质保期内出现故障或损毁，中选单位需无偿进行更换或维修。</w:t>
      </w:r>
    </w:p>
    <w:p>
      <w:pPr>
        <w:spacing w:line="420" w:lineRule="exact"/>
        <w:ind w:firstLine="482" w:firstLineChars="200"/>
        <w:rPr>
          <w:rFonts w:ascii="宋体" w:hAnsi="宋体"/>
          <w:bCs/>
          <w:sz w:val="24"/>
          <w:szCs w:val="24"/>
        </w:rPr>
      </w:pPr>
      <w:r>
        <w:rPr>
          <w:rFonts w:hint="eastAsia" w:ascii="宋体" w:hAnsi="宋体"/>
          <w:b/>
          <w:sz w:val="24"/>
          <w:szCs w:val="24"/>
        </w:rPr>
        <w:t>七、</w:t>
      </w:r>
      <w:r>
        <w:rPr>
          <w:rFonts w:hint="eastAsia" w:ascii="宋体" w:hAnsi="宋体"/>
          <w:b/>
          <w:bCs/>
          <w:sz w:val="24"/>
          <w:szCs w:val="24"/>
        </w:rPr>
        <w:t>质量要求、质保期及工期</w:t>
      </w:r>
      <w:r>
        <w:rPr>
          <w:rFonts w:hint="eastAsia" w:ascii="宋体" w:hAnsi="宋体"/>
          <w:bCs/>
          <w:sz w:val="24"/>
          <w:szCs w:val="24"/>
        </w:rPr>
        <w:t>：</w:t>
      </w:r>
    </w:p>
    <w:p>
      <w:pPr>
        <w:spacing w:line="44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1、中选单位确保所提供的产品必须符合国家及行业内的有关规范要求，保证其系正规三证齐全的合格产品。</w:t>
      </w:r>
    </w:p>
    <w:p>
      <w:pPr>
        <w:spacing w:line="44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2、质保需符合国家及行业有关规范的要求。</w:t>
      </w:r>
    </w:p>
    <w:p>
      <w:pPr>
        <w:spacing w:line="420" w:lineRule="exact"/>
        <w:ind w:firstLine="482" w:firstLineChars="200"/>
        <w:rPr>
          <w:rFonts w:ascii="宋体" w:cs="宋体"/>
          <w:sz w:val="24"/>
          <w:szCs w:val="24"/>
        </w:rPr>
      </w:pPr>
      <w:r>
        <w:rPr>
          <w:rFonts w:hint="eastAsia" w:ascii="宋体" w:hAnsi="宋体" w:cs="宋体"/>
          <w:b/>
          <w:bCs/>
          <w:sz w:val="24"/>
          <w:szCs w:val="24"/>
        </w:rPr>
        <w:t>八、响应文件的组成</w:t>
      </w:r>
      <w:r>
        <w:rPr>
          <w:rFonts w:hint="eastAsia" w:ascii="宋体" w:hAnsi="宋体" w:cs="宋体"/>
          <w:sz w:val="24"/>
          <w:szCs w:val="24"/>
        </w:rPr>
        <w:t>：</w:t>
      </w:r>
    </w:p>
    <w:p>
      <w:pPr>
        <w:spacing w:line="420" w:lineRule="exact"/>
        <w:ind w:firstLine="480" w:firstLineChars="200"/>
        <w:rPr>
          <w:rFonts w:ascii="宋体" w:hAnsi="宋体"/>
          <w:sz w:val="24"/>
          <w:szCs w:val="24"/>
        </w:rPr>
      </w:pPr>
      <w:bookmarkStart w:id="1" w:name="_Toc12789069"/>
      <w:bookmarkStart w:id="2" w:name="_Toc256249129"/>
      <w:r>
        <w:rPr>
          <w:rFonts w:hint="eastAsia" w:ascii="宋体" w:hAnsi="宋体"/>
          <w:sz w:val="24"/>
          <w:szCs w:val="24"/>
        </w:rPr>
        <w:t>响应函；</w:t>
      </w:r>
    </w:p>
    <w:p>
      <w:pPr>
        <w:spacing w:line="420" w:lineRule="exact"/>
        <w:ind w:firstLine="480" w:firstLineChars="200"/>
        <w:rPr>
          <w:rFonts w:ascii="宋体" w:hAnsi="宋体"/>
          <w:sz w:val="24"/>
          <w:szCs w:val="24"/>
        </w:rPr>
      </w:pPr>
      <w:r>
        <w:rPr>
          <w:rFonts w:hint="eastAsia" w:ascii="宋体" w:hAnsi="宋体"/>
          <w:sz w:val="24"/>
          <w:szCs w:val="24"/>
        </w:rPr>
        <w:t>法定代表人（主要负责人）身份证明及授权委托书；</w:t>
      </w:r>
    </w:p>
    <w:p>
      <w:pPr>
        <w:spacing w:line="420" w:lineRule="exact"/>
        <w:ind w:firstLine="480" w:firstLineChars="200"/>
        <w:rPr>
          <w:rFonts w:ascii="宋体" w:hAnsi="宋体"/>
          <w:sz w:val="24"/>
          <w:szCs w:val="24"/>
        </w:rPr>
      </w:pPr>
      <w:r>
        <w:rPr>
          <w:rFonts w:hint="eastAsia" w:ascii="宋体" w:hAnsi="宋体"/>
          <w:sz w:val="24"/>
          <w:szCs w:val="24"/>
        </w:rPr>
        <w:t>营业执照副本；</w:t>
      </w:r>
    </w:p>
    <w:p>
      <w:pPr>
        <w:spacing w:line="420" w:lineRule="exact"/>
        <w:ind w:firstLine="480" w:firstLineChars="200"/>
        <w:rPr>
          <w:rFonts w:ascii="宋体" w:hAnsi="宋体"/>
          <w:sz w:val="24"/>
          <w:szCs w:val="24"/>
        </w:rPr>
      </w:pPr>
      <w:r>
        <w:rPr>
          <w:rFonts w:hint="eastAsia" w:ascii="宋体" w:hAnsi="宋体"/>
          <w:sz w:val="24"/>
          <w:szCs w:val="24"/>
        </w:rPr>
        <w:t>其它须说明材料。</w:t>
      </w:r>
    </w:p>
    <w:p>
      <w:pPr>
        <w:spacing w:line="440" w:lineRule="exact"/>
        <w:ind w:firstLine="480" w:firstLineChars="200"/>
        <w:rPr>
          <w:rFonts w:ascii="宋体"/>
          <w:sz w:val="24"/>
          <w:szCs w:val="24"/>
        </w:rPr>
      </w:pPr>
      <w:r>
        <w:rPr>
          <w:rFonts w:hint="eastAsia" w:ascii="宋体" w:hAnsi="宋体"/>
          <w:sz w:val="24"/>
          <w:szCs w:val="24"/>
        </w:rPr>
        <w:t>注意：以上资料应提供复印件并加盖鲜章，响应文件应提交正本一份，副本一份密封装袋，并加盖响应人公章。未按规定密封的响应文件将被拒绝接收。本次比选须由法定代表人（主要负责人）或其代理人（附授权委托书）参加，并携带身份证原件或电子证件。</w:t>
      </w:r>
    </w:p>
    <w:p>
      <w:pPr>
        <w:tabs>
          <w:tab w:val="left" w:pos="1080"/>
        </w:tabs>
        <w:spacing w:line="420" w:lineRule="exact"/>
        <w:ind w:firstLine="482" w:firstLineChars="200"/>
        <w:rPr>
          <w:rFonts w:ascii="宋体"/>
          <w:sz w:val="24"/>
          <w:szCs w:val="24"/>
        </w:rPr>
      </w:pPr>
      <w:r>
        <w:rPr>
          <w:rFonts w:hint="eastAsia" w:ascii="宋体" w:hAnsi="宋体" w:cs="宋体"/>
          <w:b/>
          <w:bCs/>
          <w:sz w:val="24"/>
          <w:szCs w:val="24"/>
        </w:rPr>
        <w:t>九、合同的签订</w:t>
      </w:r>
      <w:bookmarkEnd w:id="1"/>
      <w:bookmarkEnd w:id="2"/>
      <w:r>
        <w:rPr>
          <w:rFonts w:hint="eastAsia" w:ascii="宋体" w:hAnsi="宋体" w:cs="宋体"/>
          <w:sz w:val="24"/>
          <w:szCs w:val="24"/>
        </w:rPr>
        <w:t>：中选人应当自中选通知书签章起</w:t>
      </w:r>
      <w:r>
        <w:rPr>
          <w:rFonts w:ascii="宋体" w:hAnsi="宋体" w:cs="宋体"/>
          <w:sz w:val="24"/>
          <w:szCs w:val="24"/>
        </w:rPr>
        <w:t xml:space="preserve">15 </w:t>
      </w:r>
      <w:r>
        <w:rPr>
          <w:rFonts w:hint="eastAsia" w:ascii="宋体" w:hAnsi="宋体" w:cs="宋体"/>
          <w:sz w:val="24"/>
          <w:szCs w:val="24"/>
        </w:rPr>
        <w:t>天内，按比选文件合同模板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pPr>
        <w:spacing w:line="420" w:lineRule="exact"/>
        <w:ind w:firstLine="482" w:firstLineChars="200"/>
        <w:rPr>
          <w:rFonts w:ascii="宋体" w:cs="宋体"/>
          <w:sz w:val="24"/>
          <w:szCs w:val="24"/>
        </w:rPr>
      </w:pPr>
      <w:r>
        <w:rPr>
          <w:rFonts w:hint="eastAsia" w:ascii="宋体" w:hAnsi="宋体" w:cs="宋体"/>
          <w:b/>
          <w:bCs/>
          <w:sz w:val="24"/>
          <w:szCs w:val="24"/>
        </w:rPr>
        <w:t>十、费用</w:t>
      </w:r>
      <w:r>
        <w:rPr>
          <w:rFonts w:hint="eastAsia" w:ascii="宋体" w:hAnsi="宋体" w:cs="宋体"/>
          <w:sz w:val="24"/>
          <w:szCs w:val="24"/>
        </w:rPr>
        <w:t>：不论比选结果如何，响应人自行承担与本次比选有关的所有费用。</w:t>
      </w:r>
    </w:p>
    <w:p>
      <w:pPr>
        <w:spacing w:line="440" w:lineRule="exact"/>
        <w:ind w:firstLine="482" w:firstLineChars="200"/>
        <w:rPr>
          <w:rFonts w:ascii="宋体" w:cs="宋体"/>
          <w:b/>
          <w:bCs/>
          <w:sz w:val="24"/>
          <w:szCs w:val="24"/>
        </w:rPr>
      </w:pPr>
      <w:r>
        <w:rPr>
          <w:rFonts w:hint="eastAsia" w:ascii="宋体" w:hAnsi="宋体" w:cs="宋体"/>
          <w:b/>
          <w:bCs/>
          <w:sz w:val="24"/>
          <w:szCs w:val="24"/>
        </w:rPr>
        <w:t>十一、若响应人提供虚假材料将按作废处理。</w:t>
      </w:r>
    </w:p>
    <w:p>
      <w:pPr>
        <w:spacing w:line="440" w:lineRule="exact"/>
        <w:ind w:firstLine="482" w:firstLineChars="200"/>
        <w:rPr>
          <w:rFonts w:ascii="宋体" w:cs="宋体"/>
          <w:b/>
          <w:bCs/>
          <w:sz w:val="24"/>
          <w:szCs w:val="24"/>
        </w:rPr>
      </w:pPr>
      <w:r>
        <w:rPr>
          <w:rFonts w:hint="eastAsia" w:ascii="宋体" w:hAnsi="宋体" w:cs="宋体"/>
          <w:b/>
          <w:bCs/>
          <w:sz w:val="24"/>
          <w:szCs w:val="24"/>
        </w:rPr>
        <w:t>十二、如有未尽事宜，最终解释权在比选方。</w:t>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spacing w:line="480" w:lineRule="exact"/>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第三章  合同条款及格式</w:t>
      </w:r>
    </w:p>
    <w:p>
      <w:pPr>
        <w:tabs>
          <w:tab w:val="left" w:pos="1050"/>
          <w:tab w:val="left" w:pos="1470"/>
        </w:tabs>
        <w:adjustRightInd w:val="0"/>
        <w:snapToGrid w:val="0"/>
        <w:spacing w:line="400" w:lineRule="exact"/>
        <w:jc w:val="center"/>
        <w:rPr>
          <w:b/>
        </w:rPr>
      </w:pPr>
    </w:p>
    <w:p>
      <w:pPr>
        <w:tabs>
          <w:tab w:val="left" w:pos="1050"/>
          <w:tab w:val="left" w:pos="1470"/>
        </w:tabs>
        <w:adjustRightInd w:val="0"/>
        <w:snapToGrid w:val="0"/>
        <w:spacing w:line="4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  同</w:t>
      </w:r>
    </w:p>
    <w:p>
      <w:pPr>
        <w:tabs>
          <w:tab w:val="left" w:pos="1050"/>
          <w:tab w:val="left" w:pos="1470"/>
        </w:tabs>
        <w:adjustRightInd w:val="0"/>
        <w:snapToGrid w:val="0"/>
        <w:spacing w:line="4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（说明：本合同为格式合同，甲方保留更改合同要约条款的权利。）</w:t>
      </w:r>
    </w:p>
    <w:p>
      <w:pPr>
        <w:tabs>
          <w:tab w:val="left" w:pos="1050"/>
          <w:tab w:val="left" w:pos="1470"/>
        </w:tabs>
        <w:adjustRightInd w:val="0"/>
        <w:snapToGrid w:val="0"/>
        <w:spacing w:line="440" w:lineRule="exact"/>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甲方：重钢总医院                              乙方： </w:t>
      </w:r>
    </w:p>
    <w:p>
      <w:pPr>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地址：重庆市大渡口区大堰三村特1号            地址：</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联系电话：                                    联系电话：</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邮编：                                        邮编：</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根据《中华人民共和国民法典》及有关法律规定，甲乙双方本着平等互利的原则，保障双方各自权益，明确双方责任，经甲乙双方经友好协商，达成以下协议：</w:t>
      </w:r>
    </w:p>
    <w:p>
      <w:pPr>
        <w:spacing w:line="44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rPr>
        <w:t>一、</w:t>
      </w:r>
      <w:r>
        <w:rPr>
          <w:rFonts w:hint="eastAsia" w:asciiTheme="minorEastAsia" w:hAnsiTheme="minorEastAsia" w:eastAsiaTheme="minorEastAsia"/>
          <w:bCs/>
          <w:sz w:val="24"/>
          <w:szCs w:val="24"/>
        </w:rPr>
        <w:t>采购产品清单见附件1</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二、所提供的产品必须符合国家及行业内的有关规范要求，保证其系正规三证齐全的合格产品。质量保证形成包括：封样，质保证明文件或甲方认可的其他形式。</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三、合同金额</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以附件1备品备件清单表项目中每项单价为基准，据实结算。</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四、付款方式</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按实际采购物资价格，每月据实支付。</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五、甲方权利和义务</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（一）负责协调乙方完成产品的安装、调试工作。</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（二）组织完成乙方所供产品的到货验收，协助乙方所供产品的验收和使用。</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六、乙方的权利和义务</w:t>
      </w:r>
    </w:p>
    <w:p>
      <w:pPr>
        <w:spacing w:line="440" w:lineRule="exact"/>
        <w:ind w:left="48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乙方按照要求完成采购产品的供应及安装、调试、培训及售后服务。</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七、到货、完工时间及到货地点</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（一）乙方在接到甲方通知后24小时内到货。</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（二）交货地点：重钢总医院</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八、售后服务（乙方提供）</w:t>
      </w:r>
    </w:p>
    <w:p>
      <w:pPr>
        <w:adjustRightInd w:val="0"/>
        <w:spacing w:line="440" w:lineRule="exact"/>
        <w:ind w:firstLine="480" w:firstLineChars="200"/>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（一）日常技术服务：</w:t>
      </w:r>
      <w:r>
        <w:rPr>
          <w:rFonts w:hint="eastAsia" w:cs="宋体" w:asciiTheme="minorEastAsia" w:hAnsiTheme="minorEastAsia" w:eastAsiaTheme="minorEastAsia"/>
          <w:sz w:val="24"/>
          <w:szCs w:val="24"/>
        </w:rPr>
        <w:t>供7x24小时服务热线，</w:t>
      </w:r>
      <w:r>
        <w:rPr>
          <w:rFonts w:hint="eastAsia"/>
        </w:rPr>
        <w:t>接到供货通知后，应在15分钟内响应</w:t>
      </w:r>
      <w:r>
        <w:rPr>
          <w:rFonts w:hint="eastAsia" w:asciiTheme="minorEastAsia" w:hAnsiTheme="minorEastAsia" w:eastAsiaTheme="minorEastAsia"/>
          <w:sz w:val="24"/>
          <w:szCs w:val="24"/>
        </w:rPr>
        <w:t>。</w:t>
      </w:r>
    </w:p>
    <w:p>
      <w:pPr>
        <w:adjustRightInd w:val="0"/>
        <w:spacing w:line="440" w:lineRule="exact"/>
        <w:ind w:firstLine="480" w:firstLineChars="200"/>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（二）</w:t>
      </w:r>
      <w:r>
        <w:rPr>
          <w:rFonts w:hint="eastAsia"/>
        </w:rPr>
        <w:t>接到电话通知后，乙方应在24小时到货</w:t>
      </w:r>
      <w:r>
        <w:rPr>
          <w:rFonts w:hint="eastAsia" w:asciiTheme="minorEastAsia" w:hAnsiTheme="minorEastAsia" w:eastAsiaTheme="minorEastAsia"/>
          <w:sz w:val="24"/>
          <w:szCs w:val="24"/>
        </w:rPr>
        <w:t>。</w:t>
      </w:r>
    </w:p>
    <w:p>
      <w:pPr>
        <w:adjustRightInd w:val="0"/>
        <w:spacing w:line="440" w:lineRule="exact"/>
        <w:ind w:firstLine="480" w:firstLineChars="200"/>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（三）应急上门服务：如发生重大事故或医院自行无法处理的故障，工程师保证4小时到达现场，解决应急问题。</w:t>
      </w:r>
    </w:p>
    <w:p>
      <w:pPr>
        <w:adjustRightInd w:val="0"/>
        <w:spacing w:line="440" w:lineRule="exact"/>
        <w:ind w:firstLine="480" w:firstLineChars="200"/>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（四）质保期：以比选结果为准。</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（五）如不能按时到货，需提前告知甲方明确到货时间。</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九、违约责任</w:t>
      </w:r>
    </w:p>
    <w:p>
      <w:pPr>
        <w:adjustRightInd w:val="0"/>
        <w:spacing w:line="440" w:lineRule="exact"/>
        <w:ind w:firstLine="480" w:firstLineChars="200"/>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除不可抗力外，如乙方发生不能按期交货，甲方发生中途退货等情况，应及时以书面形式通知对方。双方应本着友好的态度进行协商，妥善解决。 </w:t>
      </w:r>
      <w:r>
        <w:rPr>
          <w:rFonts w:hint="eastAsia" w:cs="宋体" w:asciiTheme="minorEastAsia" w:hAnsiTheme="minorEastAsia" w:eastAsiaTheme="minorEastAsia"/>
          <w:sz w:val="24"/>
          <w:szCs w:val="24"/>
        </w:rPr>
        <w:t>如协商无效，按下列规定处以罚金。</w:t>
      </w:r>
    </w:p>
    <w:p>
      <w:pPr>
        <w:adjustRightInd w:val="0"/>
        <w:spacing w:line="440" w:lineRule="exact"/>
        <w:ind w:firstLine="480" w:firstLineChars="200"/>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（一）若产品到货经验收发现质量或配置与实际不符，一经查实，甲方有权拒收，因产品更换对甲方造成的经济损失以及额外的运输费等所有费用由乙方自行承担。</w:t>
      </w:r>
    </w:p>
    <w:p>
      <w:pPr>
        <w:adjustRightInd w:val="0"/>
        <w:spacing w:line="440" w:lineRule="exact"/>
        <w:ind w:firstLine="480" w:firstLineChars="200"/>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（二）乙方未按时交货，如造成损失由乙方承担。</w:t>
      </w:r>
    </w:p>
    <w:p>
      <w:pPr>
        <w:adjustRightInd w:val="0"/>
        <w:spacing w:line="440" w:lineRule="exact"/>
        <w:ind w:firstLine="480" w:firstLineChars="200"/>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（三）若乙方多次不能按时交货，甲方可无责解除合同。</w:t>
      </w:r>
    </w:p>
    <w:p>
      <w:pPr>
        <w:adjustRightInd w:val="0"/>
        <w:spacing w:line="440" w:lineRule="exact"/>
        <w:ind w:firstLine="480" w:firstLineChars="200"/>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（四）经甲乙双方协商同意延期交货和经甲乙双方协商同意退货且无需罚款者不在此列。</w:t>
      </w:r>
    </w:p>
    <w:p>
      <w:pPr>
        <w:adjustRightInd w:val="0"/>
        <w:spacing w:line="440" w:lineRule="exact"/>
        <w:ind w:firstLine="480" w:firstLineChars="200"/>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（五）任何一方违反本合同条款，均按《中华人民共和国合同法》和有关法规的规定承担责任。</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十、争议解决方式</w:t>
      </w:r>
    </w:p>
    <w:p>
      <w:pPr>
        <w:spacing w:line="440" w:lineRule="exact"/>
        <w:ind w:right="3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（一）甲乙双方因履行合同发生争议，应协商解决；</w:t>
      </w:r>
    </w:p>
    <w:p>
      <w:pPr>
        <w:spacing w:line="440" w:lineRule="exact"/>
        <w:ind w:right="3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（二）协商解决不成，依法向甲方所在地的人民法院起诉。</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其他</w:t>
      </w:r>
    </w:p>
    <w:p>
      <w:pPr>
        <w:spacing w:line="440" w:lineRule="exact"/>
        <w:ind w:right="3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（一）本合同一式 份，甲方 份，乙方 份。</w:t>
      </w:r>
    </w:p>
    <w:p>
      <w:pPr>
        <w:spacing w:line="440" w:lineRule="exact"/>
        <w:ind w:right="3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（二）本合同经甲乙双方法定代表人或授权代表签字、加盖单位公章后生效。</w:t>
      </w: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甲方（盖章）：重钢总医院                    乙方（盖章）： </w:t>
      </w:r>
    </w:p>
    <w:p>
      <w:pPr>
        <w:spacing w:line="440" w:lineRule="exact"/>
        <w:rPr>
          <w:rFonts w:asciiTheme="minorEastAsia" w:hAnsiTheme="minorEastAsia" w:eastAsiaTheme="minorEastAsia"/>
          <w:sz w:val="24"/>
          <w:szCs w:val="24"/>
        </w:rPr>
      </w:pPr>
    </w:p>
    <w:p>
      <w:pPr>
        <w:spacing w:line="440" w:lineRule="exact"/>
        <w:ind w:left="4941" w:leftChars="10" w:hanging="4920" w:hangingChars="20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地址：重庆市大渡口区大堰三村特1号         地址：</w:t>
      </w:r>
    </w:p>
    <w:p>
      <w:pPr>
        <w:spacing w:line="440" w:lineRule="exact"/>
        <w:ind w:left="6075" w:leftChars="207" w:hanging="5640" w:hangingChars="2350"/>
        <w:jc w:val="left"/>
        <w:rPr>
          <w:rFonts w:asciiTheme="minorEastAsia" w:hAnsiTheme="minorEastAsia" w:eastAsiaTheme="minorEastAsia"/>
          <w:sz w:val="24"/>
          <w:szCs w:val="24"/>
        </w:rPr>
      </w:pPr>
    </w:p>
    <w:p>
      <w:pPr>
        <w:spacing w:line="440" w:lineRule="exact"/>
        <w:ind w:left="21"/>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法定代表人或授权代表：                     法定代表人或授权代表：</w:t>
      </w: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签订日期：   年   月   日                  签订日期：   年   月   日</w:t>
      </w:r>
    </w:p>
    <w:p>
      <w:pPr>
        <w:rPr>
          <w:rFonts w:asciiTheme="minorEastAsia" w:hAnsiTheme="minorEastAsia" w:eastAsiaTheme="minorEastAsia"/>
        </w:rPr>
      </w:pPr>
    </w:p>
    <w:p>
      <w:pPr>
        <w:jc w:val="center"/>
        <w:rPr>
          <w:b/>
          <w:sz w:val="32"/>
          <w:szCs w:val="32"/>
        </w:rPr>
      </w:pPr>
    </w:p>
    <w:p>
      <w:pPr>
        <w:jc w:val="center"/>
        <w:rPr>
          <w:b/>
          <w:sz w:val="32"/>
          <w:szCs w:val="32"/>
        </w:rPr>
      </w:pPr>
    </w:p>
    <w:p>
      <w:pPr>
        <w:pStyle w:val="9"/>
      </w:pPr>
    </w:p>
    <w:p>
      <w:pPr>
        <w:pStyle w:val="9"/>
      </w:pPr>
    </w:p>
    <w:p>
      <w:pPr>
        <w:pStyle w:val="2"/>
        <w:ind w:firstLine="883"/>
        <w:rPr>
          <w:rFonts w:ascii="宋体" w:hAnsi="宋体"/>
          <w:b/>
          <w:bCs/>
          <w:sz w:val="44"/>
          <w:szCs w:val="44"/>
        </w:rPr>
      </w:pPr>
    </w:p>
    <w:p>
      <w:pPr>
        <w:pStyle w:val="2"/>
        <w:ind w:firstLine="883"/>
        <w:rPr>
          <w:rFonts w:ascii="宋体" w:hAnsi="宋体"/>
          <w:b/>
          <w:bCs/>
          <w:sz w:val="44"/>
          <w:szCs w:val="44"/>
        </w:rPr>
      </w:pPr>
    </w:p>
    <w:p>
      <w:pPr>
        <w:pStyle w:val="2"/>
        <w:ind w:firstLine="883"/>
        <w:rPr>
          <w:rFonts w:ascii="宋体" w:hAnsi="宋体"/>
          <w:b/>
          <w:bCs/>
          <w:sz w:val="44"/>
          <w:szCs w:val="44"/>
        </w:rPr>
      </w:pPr>
    </w:p>
    <w:p>
      <w:pPr>
        <w:pStyle w:val="2"/>
        <w:ind w:firstLine="883"/>
        <w:rPr>
          <w:rFonts w:ascii="宋体" w:hAnsi="宋体"/>
          <w:b/>
          <w:bCs/>
          <w:sz w:val="44"/>
          <w:szCs w:val="44"/>
        </w:rPr>
      </w:pPr>
    </w:p>
    <w:p>
      <w:pPr>
        <w:pStyle w:val="2"/>
        <w:ind w:firstLine="883"/>
        <w:rPr>
          <w:rFonts w:ascii="宋体" w:hAnsi="宋体"/>
          <w:b/>
          <w:bCs/>
          <w:sz w:val="44"/>
          <w:szCs w:val="44"/>
        </w:rPr>
      </w:pPr>
    </w:p>
    <w:p>
      <w:pPr>
        <w:pStyle w:val="2"/>
        <w:ind w:left="0" w:leftChars="0" w:firstLine="0" w:firstLineChars="0"/>
        <w:rPr>
          <w:rFonts w:ascii="宋体" w:hAnsi="宋体"/>
          <w:b/>
          <w:bCs/>
          <w:sz w:val="44"/>
          <w:szCs w:val="44"/>
        </w:rPr>
      </w:pPr>
    </w:p>
    <w:p>
      <w:pPr>
        <w:ind w:firstLine="883" w:firstLineChars="200"/>
      </w:pPr>
      <w:r>
        <w:rPr>
          <w:rFonts w:hint="eastAsia" w:ascii="宋体" w:hAnsi="宋体" w:cs="宋体"/>
          <w:b/>
          <w:bCs/>
          <w:sz w:val="44"/>
          <w:szCs w:val="44"/>
        </w:rPr>
        <w:t>第四章    部份响应文件格式（可参照）</w:t>
      </w:r>
    </w:p>
    <w:p>
      <w:pPr>
        <w:pStyle w:val="2"/>
        <w:ind w:firstLine="883"/>
        <w:rPr>
          <w:rFonts w:ascii="宋体" w:hAnsi="宋体"/>
          <w:b/>
          <w:bCs/>
          <w:sz w:val="44"/>
          <w:szCs w:val="44"/>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00" w:lineRule="exact"/>
        <w:rPr>
          <w:rFonts w:ascii="宋体" w:hAnsi="宋体"/>
        </w:rPr>
      </w:pPr>
    </w:p>
    <w:p>
      <w:pPr>
        <w:spacing w:line="400" w:lineRule="exact"/>
        <w:rPr>
          <w:rFonts w:ascii="宋体" w:hAnsi="宋体"/>
        </w:rPr>
      </w:pPr>
    </w:p>
    <w:p>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rPr>
          <w:b/>
          <w:sz w:val="64"/>
          <w:szCs w:val="64"/>
        </w:rPr>
      </w:pPr>
      <w:r>
        <w:rPr>
          <w:rFonts w:hint="eastAsia"/>
          <w:b/>
          <w:sz w:val="64"/>
          <w:szCs w:val="64"/>
        </w:rPr>
        <w:t>响 应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ind w:firstLine="2240" w:firstLineChars="800"/>
        <w:rPr>
          <w:sz w:val="28"/>
          <w:szCs w:val="28"/>
          <w:u w:val="single"/>
        </w:rPr>
      </w:pPr>
      <w:r>
        <w:rPr>
          <w:rFonts w:hint="eastAsia"/>
          <w:sz w:val="28"/>
          <w:szCs w:val="28"/>
        </w:rPr>
        <w:t>响应人：</w:t>
      </w:r>
      <w:r>
        <w:rPr>
          <w:rFonts w:hint="eastAsia"/>
          <w:sz w:val="28"/>
          <w:szCs w:val="28"/>
          <w:u w:val="single"/>
        </w:rPr>
        <w:t xml:space="preserve">                              </w:t>
      </w:r>
    </w:p>
    <w:p>
      <w:pPr>
        <w:spacing w:line="800" w:lineRule="exact"/>
        <w:ind w:firstLine="2940" w:firstLineChars="1050"/>
        <w:rPr>
          <w:sz w:val="28"/>
          <w:szCs w:val="28"/>
        </w:rPr>
      </w:pPr>
      <w:r>
        <w:rPr>
          <w:rFonts w:hint="eastAsia"/>
          <w:sz w:val="28"/>
          <w:szCs w:val="28"/>
          <w:u w:val="single"/>
        </w:rPr>
        <w:t xml:space="preserve">  </w:t>
      </w:r>
      <w:r>
        <w:rPr>
          <w:sz w:val="28"/>
          <w:szCs w:val="28"/>
          <w:u w:val="single"/>
        </w:rPr>
        <w:t>20</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jc w:val="left"/>
      </w:pPr>
    </w:p>
    <w:p>
      <w:pPr>
        <w:jc w:val="left"/>
      </w:pPr>
    </w:p>
    <w:p>
      <w:pPr>
        <w:jc w:val="left"/>
      </w:pPr>
    </w:p>
    <w:p>
      <w:pPr>
        <w:jc w:val="left"/>
      </w:pPr>
    </w:p>
    <w:p>
      <w:pPr>
        <w:jc w:val="left"/>
      </w:pPr>
    </w:p>
    <w:p>
      <w:pPr>
        <w:jc w:val="left"/>
      </w:pPr>
    </w:p>
    <w:p>
      <w:pPr>
        <w:jc w:val="left"/>
      </w:pPr>
    </w:p>
    <w:p>
      <w:pPr>
        <w:spacing w:line="480" w:lineRule="exact"/>
        <w:jc w:val="center"/>
        <w:rPr>
          <w:rFonts w:ascii="宋体" w:hAnsi="宋体"/>
          <w:b/>
          <w:sz w:val="32"/>
          <w:szCs w:val="32"/>
        </w:rPr>
      </w:pPr>
      <w:r>
        <w:rPr>
          <w:rFonts w:ascii="宋体" w:hAnsi="宋体"/>
          <w:b/>
          <w:sz w:val="32"/>
          <w:szCs w:val="32"/>
        </w:rPr>
        <w:t>目</w:t>
      </w:r>
      <w:r>
        <w:rPr>
          <w:rFonts w:hint="eastAsia" w:ascii="宋体" w:hAnsi="宋体"/>
          <w:b/>
          <w:sz w:val="32"/>
          <w:szCs w:val="32"/>
        </w:rPr>
        <w:t xml:space="preserve">  </w:t>
      </w:r>
      <w:r>
        <w:rPr>
          <w:rFonts w:ascii="宋体" w:hAnsi="宋体"/>
          <w:b/>
          <w:sz w:val="32"/>
          <w:szCs w:val="32"/>
        </w:rPr>
        <w:t>录</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hint="eastAsia" w:ascii="宋体" w:hAnsi="宋体"/>
          <w:sz w:val="24"/>
          <w:szCs w:val="24"/>
        </w:rPr>
        <w:t>一、响应函；</w:t>
      </w:r>
    </w:p>
    <w:p>
      <w:pPr>
        <w:spacing w:line="480" w:lineRule="exact"/>
        <w:ind w:firstLine="480" w:firstLineChars="200"/>
        <w:jc w:val="left"/>
        <w:rPr>
          <w:rFonts w:ascii="宋体" w:hAnsi="宋体"/>
          <w:sz w:val="24"/>
          <w:szCs w:val="24"/>
        </w:rPr>
      </w:pPr>
      <w:r>
        <w:rPr>
          <w:rFonts w:hint="eastAsia" w:ascii="宋体" w:hAnsi="宋体"/>
          <w:sz w:val="24"/>
          <w:szCs w:val="24"/>
        </w:rPr>
        <w:t>二、法定代表人（主要负责人）身份证明及授权委托书；</w:t>
      </w:r>
    </w:p>
    <w:p>
      <w:pPr>
        <w:spacing w:line="480" w:lineRule="exact"/>
        <w:ind w:firstLine="480" w:firstLineChars="200"/>
        <w:jc w:val="left"/>
        <w:rPr>
          <w:rFonts w:ascii="宋体" w:hAnsi="宋体"/>
          <w:sz w:val="24"/>
          <w:szCs w:val="24"/>
        </w:rPr>
      </w:pPr>
      <w:r>
        <w:rPr>
          <w:rFonts w:hint="eastAsia" w:ascii="宋体" w:hAnsi="宋体"/>
          <w:sz w:val="24"/>
          <w:szCs w:val="24"/>
        </w:rPr>
        <w:t>三、营业执照副本；</w:t>
      </w:r>
    </w:p>
    <w:p>
      <w:pPr>
        <w:spacing w:line="480" w:lineRule="exact"/>
        <w:ind w:firstLine="480" w:firstLineChars="200"/>
        <w:jc w:val="left"/>
        <w:rPr>
          <w:rFonts w:ascii="宋体" w:hAnsi="宋体"/>
          <w:sz w:val="24"/>
          <w:szCs w:val="24"/>
        </w:rPr>
      </w:pPr>
      <w:r>
        <w:rPr>
          <w:rFonts w:hint="eastAsia" w:ascii="宋体" w:hAnsi="宋体"/>
          <w:sz w:val="24"/>
          <w:szCs w:val="24"/>
        </w:rPr>
        <w:t>四、其它须说明材料。</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tabs>
          <w:tab w:val="left" w:pos="360"/>
        </w:tabs>
        <w:spacing w:afterLines="50" w:line="480" w:lineRule="exact"/>
        <w:jc w:val="left"/>
        <w:rPr>
          <w:rFonts w:ascii="宋体" w:hAnsi="宋体" w:cs="宋体"/>
          <w:b/>
          <w:bCs/>
        </w:rPr>
      </w:pPr>
    </w:p>
    <w:p>
      <w:pPr>
        <w:tabs>
          <w:tab w:val="left" w:pos="360"/>
        </w:tabs>
        <w:spacing w:afterLines="50" w:line="480" w:lineRule="exact"/>
        <w:jc w:val="left"/>
        <w:rPr>
          <w:rFonts w:ascii="宋体" w:hAnsi="宋体" w:cs="宋体"/>
          <w:b/>
          <w:bCs/>
        </w:rPr>
      </w:pPr>
    </w:p>
    <w:p>
      <w:pPr>
        <w:tabs>
          <w:tab w:val="left" w:pos="360"/>
        </w:tabs>
        <w:spacing w:afterLines="50" w:line="480" w:lineRule="exact"/>
        <w:jc w:val="left"/>
        <w:rPr>
          <w:rFonts w:ascii="宋体" w:hAnsi="宋体" w:cs="宋体"/>
          <w:b/>
          <w:bCs/>
        </w:rPr>
      </w:pPr>
    </w:p>
    <w:p>
      <w:pPr>
        <w:tabs>
          <w:tab w:val="left" w:pos="360"/>
        </w:tabs>
        <w:spacing w:afterLines="50" w:line="480" w:lineRule="exact"/>
        <w:jc w:val="left"/>
        <w:rPr>
          <w:rFonts w:ascii="宋体" w:hAnsi="宋体" w:cs="宋体"/>
          <w:b/>
          <w:bCs/>
        </w:rPr>
      </w:pPr>
    </w:p>
    <w:p>
      <w:pPr>
        <w:pStyle w:val="2"/>
      </w:pPr>
    </w:p>
    <w:p>
      <w:pPr>
        <w:pStyle w:val="2"/>
      </w:pPr>
    </w:p>
    <w:p>
      <w:pPr>
        <w:pStyle w:val="2"/>
      </w:pPr>
    </w:p>
    <w:p>
      <w:pPr>
        <w:spacing w:line="400" w:lineRule="exact"/>
        <w:jc w:val="center"/>
        <w:rPr>
          <w:rFonts w:ascii="宋体" w:hAnsi="宋体"/>
          <w:b/>
          <w:sz w:val="32"/>
          <w:szCs w:val="32"/>
        </w:rPr>
      </w:pPr>
      <w:r>
        <w:rPr>
          <w:rFonts w:ascii="宋体" w:hAnsi="宋体"/>
          <w:b/>
          <w:sz w:val="32"/>
          <w:szCs w:val="32"/>
        </w:rPr>
        <w:t>一、响 应 函</w:t>
      </w:r>
    </w:p>
    <w:p>
      <w:pPr>
        <w:spacing w:line="460" w:lineRule="exact"/>
        <w:jc w:val="left"/>
        <w:rPr>
          <w:rFonts w:ascii="宋体" w:hAnsi="宋体"/>
          <w:sz w:val="24"/>
          <w:szCs w:val="24"/>
        </w:rPr>
      </w:pPr>
    </w:p>
    <w:p>
      <w:pPr>
        <w:spacing w:line="460" w:lineRule="exact"/>
        <w:jc w:val="left"/>
        <w:rPr>
          <w:rFonts w:ascii="宋体" w:hAnsi="宋体"/>
          <w:sz w:val="24"/>
          <w:szCs w:val="24"/>
        </w:rPr>
      </w:pPr>
      <w:r>
        <w:rPr>
          <w:rFonts w:hint="eastAsia" w:ascii="宋体" w:hAnsi="宋体"/>
          <w:sz w:val="24"/>
          <w:szCs w:val="24"/>
          <w:u w:val="single"/>
        </w:rPr>
        <w:t xml:space="preserve">                          </w:t>
      </w:r>
      <w:r>
        <w:rPr>
          <w:rFonts w:ascii="宋体" w:hAnsi="宋体"/>
          <w:sz w:val="24"/>
          <w:szCs w:val="24"/>
        </w:rPr>
        <w:t>比选人名称：</w:t>
      </w:r>
    </w:p>
    <w:p>
      <w:pPr>
        <w:spacing w:line="460" w:lineRule="exact"/>
        <w:ind w:firstLine="480" w:firstLineChars="200"/>
        <w:jc w:val="left"/>
        <w:rPr>
          <w:rFonts w:asciiTheme="minorEastAsia" w:hAnsiTheme="minorEastAsia"/>
          <w:sz w:val="24"/>
          <w:szCs w:val="24"/>
        </w:rPr>
      </w:pPr>
      <w:r>
        <w:rPr>
          <w:rFonts w:ascii="宋体" w:hAnsi="宋体"/>
          <w:sz w:val="24"/>
          <w:szCs w:val="24"/>
        </w:rPr>
        <w:t>1</w:t>
      </w:r>
      <w:r>
        <w:rPr>
          <w:rFonts w:hint="eastAsia" w:ascii="宋体" w:hAnsi="宋体"/>
          <w:sz w:val="24"/>
          <w:szCs w:val="24"/>
        </w:rPr>
        <w:t>．</w:t>
      </w:r>
      <w:r>
        <w:rPr>
          <w:rFonts w:asciiTheme="minorEastAsia" w:hAnsiTheme="minorEastAsia"/>
          <w:sz w:val="24"/>
          <w:szCs w:val="24"/>
        </w:rPr>
        <w:t>我方已仔细研究了</w:t>
      </w:r>
      <w:r>
        <w:rPr>
          <w:rFonts w:hint="eastAsia" w:asciiTheme="minorEastAsia" w:hAnsiTheme="minorEastAsia"/>
          <w:sz w:val="24"/>
          <w:szCs w:val="24"/>
          <w:u w:val="single"/>
        </w:rPr>
        <w:t xml:space="preserve">                         </w:t>
      </w:r>
      <w:r>
        <w:rPr>
          <w:rFonts w:asciiTheme="minorEastAsia" w:hAnsiTheme="minorEastAsia"/>
          <w:sz w:val="24"/>
          <w:szCs w:val="24"/>
        </w:rPr>
        <w:t>（项目名称）</w:t>
      </w:r>
      <w:r>
        <w:rPr>
          <w:rFonts w:hint="eastAsia" w:asciiTheme="minorEastAsia" w:hAnsiTheme="minorEastAsia"/>
          <w:sz w:val="24"/>
          <w:szCs w:val="24"/>
        </w:rPr>
        <w:t>比选</w:t>
      </w:r>
      <w:r>
        <w:rPr>
          <w:rFonts w:asciiTheme="minorEastAsia" w:hAnsiTheme="minorEastAsia"/>
          <w:sz w:val="24"/>
          <w:szCs w:val="24"/>
        </w:rPr>
        <w:t>文件的全部内容，</w:t>
      </w:r>
      <w:r>
        <w:rPr>
          <w:rFonts w:hint="eastAsia" w:asciiTheme="minorEastAsia" w:hAnsiTheme="minorEastAsia"/>
          <w:sz w:val="24"/>
          <w:szCs w:val="24"/>
        </w:rPr>
        <w:t>愿意</w:t>
      </w:r>
      <w:r>
        <w:rPr>
          <w:rFonts w:asciiTheme="minorEastAsia" w:hAnsiTheme="minorEastAsia"/>
          <w:sz w:val="24"/>
          <w:szCs w:val="24"/>
        </w:rPr>
        <w:t>以</w:t>
      </w:r>
      <w:r>
        <w:rPr>
          <w:rFonts w:hint="eastAsia" w:asciiTheme="minorEastAsia" w:hAnsiTheme="minorEastAsia"/>
          <w:sz w:val="24"/>
          <w:szCs w:val="24"/>
        </w:rPr>
        <w:t>报价清单中的报价（</w:t>
      </w:r>
      <w:r>
        <w:rPr>
          <w:rFonts w:asciiTheme="minorEastAsia" w:hAnsiTheme="minorEastAsia"/>
          <w:sz w:val="24"/>
          <w:szCs w:val="24"/>
        </w:rPr>
        <w:t>含税价</w:t>
      </w:r>
      <w:r>
        <w:rPr>
          <w:rFonts w:hint="eastAsia" w:asciiTheme="minorEastAsia" w:hAnsiTheme="minorEastAsia"/>
          <w:sz w:val="24"/>
          <w:szCs w:val="24"/>
        </w:rPr>
        <w:t>）</w:t>
      </w:r>
      <w:r>
        <w:rPr>
          <w:rFonts w:asciiTheme="minorEastAsia" w:hAnsiTheme="minorEastAsia"/>
          <w:sz w:val="24"/>
          <w:szCs w:val="24"/>
        </w:rPr>
        <w:t>完成本项目并按合同约定履行义务。</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我方的响应文件包括下列内容：</w:t>
      </w:r>
    </w:p>
    <w:p>
      <w:pPr>
        <w:spacing w:line="460" w:lineRule="exact"/>
        <w:ind w:firstLine="480" w:firstLineChars="200"/>
        <w:jc w:val="left"/>
        <w:rPr>
          <w:rFonts w:ascii="宋体" w:hAnsi="宋体"/>
          <w:sz w:val="24"/>
          <w:szCs w:val="24"/>
        </w:rPr>
      </w:pPr>
      <w:r>
        <w:rPr>
          <w:rFonts w:hint="eastAsia" w:ascii="宋体" w:hAnsi="宋体"/>
          <w:sz w:val="24"/>
          <w:szCs w:val="24"/>
        </w:rPr>
        <w:t>（1）比选报价函；</w:t>
      </w:r>
    </w:p>
    <w:p>
      <w:pPr>
        <w:spacing w:line="460" w:lineRule="exact"/>
        <w:ind w:firstLine="480" w:firstLineChars="200"/>
        <w:jc w:val="left"/>
        <w:rPr>
          <w:rFonts w:ascii="宋体" w:hAnsi="宋体"/>
          <w:sz w:val="24"/>
          <w:szCs w:val="24"/>
        </w:rPr>
      </w:pPr>
      <w:r>
        <w:rPr>
          <w:rFonts w:hint="eastAsia" w:ascii="宋体" w:hAnsi="宋体"/>
          <w:sz w:val="24"/>
          <w:szCs w:val="24"/>
        </w:rPr>
        <w:t>（2）法定代表人（主要负责人）身份证明及授权委托书；</w:t>
      </w:r>
    </w:p>
    <w:p>
      <w:pPr>
        <w:spacing w:line="460" w:lineRule="exact"/>
        <w:ind w:firstLine="480" w:firstLineChars="200"/>
        <w:jc w:val="left"/>
        <w:rPr>
          <w:rFonts w:ascii="宋体" w:hAnsi="宋体"/>
          <w:sz w:val="24"/>
          <w:szCs w:val="24"/>
        </w:rPr>
      </w:pPr>
      <w:r>
        <w:rPr>
          <w:rFonts w:hint="eastAsia" w:ascii="宋体" w:hAnsi="宋体"/>
          <w:sz w:val="24"/>
          <w:szCs w:val="24"/>
        </w:rPr>
        <w:t>（3）营业执照副本；</w:t>
      </w:r>
    </w:p>
    <w:p>
      <w:pPr>
        <w:spacing w:line="460" w:lineRule="exact"/>
        <w:ind w:firstLine="480" w:firstLineChars="200"/>
        <w:jc w:val="left"/>
        <w:rPr>
          <w:rFonts w:ascii="宋体" w:hAnsi="宋体"/>
          <w:sz w:val="24"/>
          <w:szCs w:val="24"/>
        </w:rPr>
      </w:pPr>
      <w:r>
        <w:rPr>
          <w:rFonts w:hint="eastAsia" w:ascii="宋体" w:hAnsi="宋体"/>
          <w:sz w:val="24"/>
          <w:szCs w:val="24"/>
        </w:rPr>
        <w:t>（5）其它须说明材料。</w:t>
      </w:r>
    </w:p>
    <w:p>
      <w:pPr>
        <w:spacing w:line="460" w:lineRule="exact"/>
        <w:ind w:firstLine="480" w:firstLineChars="200"/>
        <w:jc w:val="left"/>
        <w:rPr>
          <w:rFonts w:ascii="宋体" w:hAnsi="宋体"/>
          <w:sz w:val="24"/>
          <w:szCs w:val="24"/>
        </w:rPr>
      </w:pPr>
      <w:r>
        <w:rPr>
          <w:rFonts w:ascii="宋体" w:hAnsi="宋体"/>
          <w:sz w:val="24"/>
          <w:szCs w:val="24"/>
        </w:rPr>
        <w:t>响应文件的上述组成部分如存在内容不一致的，以响应函为准。</w:t>
      </w:r>
    </w:p>
    <w:p>
      <w:pPr>
        <w:spacing w:line="46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我方承诺响应</w:t>
      </w:r>
      <w:r>
        <w:rPr>
          <w:rFonts w:hint="eastAsia" w:ascii="宋体" w:hAnsi="宋体"/>
          <w:sz w:val="24"/>
          <w:szCs w:val="24"/>
        </w:rPr>
        <w:t>比选</w:t>
      </w:r>
      <w:r>
        <w:rPr>
          <w:rFonts w:ascii="宋体" w:hAnsi="宋体"/>
          <w:sz w:val="24"/>
          <w:szCs w:val="24"/>
        </w:rPr>
        <w:t>文件的全部要求。</w:t>
      </w:r>
    </w:p>
    <w:p>
      <w:pPr>
        <w:spacing w:line="460" w:lineRule="exact"/>
        <w:ind w:firstLine="480" w:firstLineChars="200"/>
        <w:jc w:val="left"/>
        <w:rPr>
          <w:rFonts w:ascii="宋体"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我方承诺在</w:t>
      </w:r>
      <w:r>
        <w:rPr>
          <w:rFonts w:hint="eastAsia" w:ascii="宋体" w:hAnsi="宋体"/>
          <w:sz w:val="24"/>
          <w:szCs w:val="24"/>
        </w:rPr>
        <w:t>比选</w:t>
      </w:r>
      <w:r>
        <w:rPr>
          <w:rFonts w:ascii="宋体" w:hAnsi="宋体"/>
          <w:sz w:val="24"/>
          <w:szCs w:val="24"/>
        </w:rPr>
        <w:t>文件规定的响应文件有效期内不撤销响应文件。</w:t>
      </w:r>
    </w:p>
    <w:p>
      <w:pPr>
        <w:spacing w:line="460" w:lineRule="exact"/>
        <w:ind w:firstLine="480" w:firstLineChars="200"/>
        <w:jc w:val="left"/>
        <w:rPr>
          <w:rFonts w:ascii="宋体" w:hAnsi="宋体"/>
          <w:sz w:val="24"/>
          <w:szCs w:val="24"/>
        </w:rPr>
      </w:pPr>
      <w:r>
        <w:rPr>
          <w:rFonts w:hint="eastAsia" w:ascii="宋体" w:hAnsi="宋体"/>
          <w:sz w:val="24"/>
          <w:szCs w:val="24"/>
        </w:rPr>
        <w:t>5．</w:t>
      </w:r>
      <w:r>
        <w:rPr>
          <w:rFonts w:ascii="宋体" w:hAnsi="宋体"/>
          <w:sz w:val="24"/>
          <w:szCs w:val="24"/>
        </w:rPr>
        <w:t>如我方成交，我方承诺：</w:t>
      </w:r>
    </w:p>
    <w:p>
      <w:pPr>
        <w:spacing w:line="460" w:lineRule="exact"/>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在收到成交通知书后，在成交通知书规定的期限内与你方签订合同；</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在签订合同时不向你方提出附加条件；</w:t>
      </w:r>
    </w:p>
    <w:p>
      <w:pPr>
        <w:spacing w:line="460" w:lineRule="exact"/>
        <w:ind w:firstLine="480" w:firstLineChars="200"/>
        <w:jc w:val="left"/>
        <w:rPr>
          <w:rFonts w:ascii="宋体" w:hAnsi="宋体"/>
          <w:sz w:val="24"/>
          <w:szCs w:val="24"/>
        </w:rPr>
      </w:pPr>
      <w:r>
        <w:rPr>
          <w:rFonts w:ascii="宋体" w:hAnsi="宋体"/>
          <w:sz w:val="24"/>
          <w:szCs w:val="24"/>
        </w:rPr>
        <w:t>（</w:t>
      </w:r>
      <w:r>
        <w:rPr>
          <w:rFonts w:hint="eastAsia" w:ascii="宋体" w:hAnsi="宋体"/>
          <w:sz w:val="24"/>
          <w:szCs w:val="24"/>
        </w:rPr>
        <w:t>3）</w:t>
      </w:r>
      <w:r>
        <w:rPr>
          <w:rFonts w:ascii="宋体" w:hAnsi="宋体"/>
          <w:sz w:val="24"/>
          <w:szCs w:val="24"/>
        </w:rPr>
        <w:t>在合同约定的期限内完成合同规定的全部义务。</w:t>
      </w:r>
    </w:p>
    <w:p>
      <w:pPr>
        <w:spacing w:line="460" w:lineRule="exact"/>
        <w:ind w:firstLine="480" w:firstLineChars="200"/>
        <w:jc w:val="left"/>
        <w:rPr>
          <w:rFonts w:ascii="宋体" w:hAnsi="宋体"/>
          <w:sz w:val="24"/>
          <w:szCs w:val="24"/>
        </w:rPr>
      </w:pPr>
      <w:r>
        <w:rPr>
          <w:rFonts w:ascii="宋体" w:hAnsi="宋体"/>
          <w:sz w:val="24"/>
          <w:szCs w:val="24"/>
        </w:rPr>
        <w:t>6</w:t>
      </w:r>
      <w:r>
        <w:rPr>
          <w:rFonts w:hint="eastAsia" w:ascii="宋体" w:hAnsi="宋体"/>
          <w:sz w:val="24"/>
          <w:szCs w:val="24"/>
        </w:rPr>
        <w:t>．</w:t>
      </w:r>
      <w:r>
        <w:rPr>
          <w:rFonts w:ascii="宋体" w:hAnsi="宋体"/>
          <w:sz w:val="24"/>
          <w:szCs w:val="24"/>
        </w:rPr>
        <w:t>我方在此声明，所递交的响应文件及有关资料内容完整、真实和准确。</w:t>
      </w:r>
    </w:p>
    <w:p>
      <w:pPr>
        <w:spacing w:line="460" w:lineRule="exact"/>
        <w:ind w:firstLine="480" w:firstLineChars="200"/>
        <w:jc w:val="left"/>
        <w:rPr>
          <w:rFonts w:ascii="宋体" w:hAnsi="宋体"/>
          <w:sz w:val="24"/>
          <w:szCs w:val="24"/>
        </w:rPr>
      </w:pPr>
      <w:r>
        <w:rPr>
          <w:rFonts w:ascii="宋体" w:hAnsi="宋体"/>
          <w:sz w:val="24"/>
          <w:szCs w:val="24"/>
        </w:rPr>
        <w:t>7</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rPr>
        <w:t>（其他补充说明）。</w:t>
      </w:r>
    </w:p>
    <w:p>
      <w:pPr>
        <w:spacing w:line="460" w:lineRule="exact"/>
        <w:ind w:firstLine="2040" w:firstLineChars="850"/>
        <w:jc w:val="left"/>
        <w:rPr>
          <w:rFonts w:ascii="宋体" w:hAnsi="宋体"/>
          <w:sz w:val="24"/>
          <w:szCs w:val="24"/>
        </w:rPr>
      </w:pPr>
    </w:p>
    <w:p>
      <w:pPr>
        <w:spacing w:line="460" w:lineRule="exact"/>
        <w:ind w:firstLine="1920" w:firstLineChars="800"/>
        <w:jc w:val="left"/>
        <w:rPr>
          <w:rFonts w:ascii="宋体" w:hAnsi="宋体"/>
          <w:sz w:val="24"/>
          <w:szCs w:val="24"/>
        </w:rPr>
      </w:pPr>
      <w:r>
        <w:rPr>
          <w:rFonts w:ascii="宋体" w:hAnsi="宋体"/>
          <w:sz w:val="24"/>
          <w:szCs w:val="24"/>
        </w:rPr>
        <w:t>供</w:t>
      </w:r>
      <w:r>
        <w:rPr>
          <w:rFonts w:hint="eastAsia" w:ascii="宋体" w:hAnsi="宋体"/>
          <w:sz w:val="24"/>
          <w:szCs w:val="24"/>
        </w:rPr>
        <w:t xml:space="preserve"> </w:t>
      </w:r>
      <w:r>
        <w:rPr>
          <w:rFonts w:ascii="宋体" w:hAnsi="宋体"/>
          <w:sz w:val="24"/>
          <w:szCs w:val="24"/>
        </w:rPr>
        <w:t>应</w:t>
      </w:r>
      <w:r>
        <w:rPr>
          <w:rFonts w:hint="eastAsia" w:ascii="宋体" w:hAnsi="宋体"/>
          <w:sz w:val="24"/>
          <w:szCs w:val="24"/>
        </w:rPr>
        <w:t xml:space="preserve"> </w:t>
      </w:r>
      <w:r>
        <w:rPr>
          <w:rFonts w:ascii="宋体" w:hAnsi="宋体"/>
          <w:sz w:val="24"/>
          <w:szCs w:val="24"/>
        </w:rPr>
        <w:t>商：</w:t>
      </w:r>
      <w:r>
        <w:rPr>
          <w:rFonts w:hint="eastAsia" w:ascii="宋体" w:hAnsi="宋体"/>
          <w:sz w:val="24"/>
          <w:szCs w:val="24"/>
          <w:u w:val="single"/>
        </w:rPr>
        <w:t xml:space="preserve">                                      </w:t>
      </w:r>
      <w:r>
        <w:rPr>
          <w:rFonts w:ascii="宋体" w:hAnsi="宋体"/>
          <w:sz w:val="24"/>
          <w:szCs w:val="24"/>
        </w:rPr>
        <w:t>（盖单位章）</w:t>
      </w:r>
    </w:p>
    <w:p>
      <w:pPr>
        <w:spacing w:line="460" w:lineRule="exact"/>
        <w:ind w:firstLine="1920" w:firstLineChars="800"/>
        <w:jc w:val="left"/>
        <w:rPr>
          <w:rFonts w:ascii="宋体" w:hAnsi="宋体"/>
          <w:sz w:val="24"/>
          <w:szCs w:val="24"/>
        </w:rPr>
      </w:pPr>
      <w:r>
        <w:rPr>
          <w:rFonts w:ascii="宋体" w:hAnsi="宋体"/>
          <w:sz w:val="24"/>
          <w:szCs w:val="24"/>
        </w:rPr>
        <w:t>法定代表人（主要负责人）或其授权的代理人：</w:t>
      </w:r>
      <w:r>
        <w:rPr>
          <w:rFonts w:hint="eastAsia" w:ascii="宋体" w:hAnsi="宋体"/>
          <w:sz w:val="24"/>
          <w:szCs w:val="24"/>
          <w:u w:val="single"/>
        </w:rPr>
        <w:t xml:space="preserve">          </w:t>
      </w:r>
      <w:r>
        <w:rPr>
          <w:rFonts w:ascii="宋体" w:hAnsi="宋体"/>
          <w:sz w:val="24"/>
          <w:szCs w:val="24"/>
        </w:rPr>
        <w:t>（签字）</w:t>
      </w:r>
    </w:p>
    <w:p>
      <w:pPr>
        <w:spacing w:line="460" w:lineRule="exact"/>
        <w:ind w:firstLine="1920" w:firstLineChars="800"/>
        <w:jc w:val="left"/>
        <w:rPr>
          <w:rFonts w:ascii="宋体" w:hAnsi="宋体"/>
          <w:sz w:val="24"/>
          <w:szCs w:val="24"/>
          <w:u w:val="single"/>
        </w:rPr>
      </w:pPr>
      <w:r>
        <w:rPr>
          <w:rFonts w:ascii="宋体" w:hAnsi="宋体"/>
          <w:sz w:val="24"/>
          <w:szCs w:val="24"/>
        </w:rPr>
        <w:t>地</w:t>
      </w:r>
      <w:r>
        <w:rPr>
          <w:rFonts w:hint="eastAsia" w:ascii="宋体" w:hAnsi="宋体"/>
          <w:sz w:val="24"/>
          <w:szCs w:val="24"/>
        </w:rPr>
        <w:t xml:space="preserve">    </w:t>
      </w:r>
      <w:r>
        <w:rPr>
          <w:rFonts w:ascii="宋体" w:hAnsi="宋体"/>
          <w:sz w:val="24"/>
          <w:szCs w:val="24"/>
        </w:rPr>
        <w:t>址：</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u w:val="single"/>
        </w:rPr>
      </w:pPr>
      <w:r>
        <w:rPr>
          <w:rFonts w:hint="eastAsia" w:ascii="宋体" w:hAnsi="宋体"/>
          <w:sz w:val="24"/>
          <w:szCs w:val="24"/>
        </w:rPr>
        <w:t>电子邮箱：</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电    话：</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pPr>
        <w:spacing w:line="460" w:lineRule="exact"/>
        <w:ind w:firstLine="7800" w:firstLineChars="3250"/>
        <w:jc w:val="left"/>
        <w:rPr>
          <w:rFonts w:ascii="宋体" w:hAnsi="宋体"/>
          <w:sz w:val="24"/>
          <w:szCs w:val="24"/>
        </w:rPr>
      </w:pPr>
      <w:r>
        <w:rPr>
          <w:rFonts w:hint="eastAsia" w:ascii="宋体" w:hAnsi="宋体"/>
          <w:sz w:val="24"/>
          <w:szCs w:val="24"/>
        </w:rPr>
        <w:t>年    月    日</w:t>
      </w: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pStyle w:val="2"/>
      </w:pPr>
    </w:p>
    <w:p>
      <w:pPr>
        <w:pStyle w:val="2"/>
      </w:pPr>
    </w:p>
    <w:p>
      <w:pPr>
        <w:spacing w:line="400" w:lineRule="exact"/>
        <w:jc w:val="center"/>
        <w:rPr>
          <w:rFonts w:ascii="宋体" w:hAnsi="宋体"/>
          <w:b/>
          <w:sz w:val="32"/>
          <w:szCs w:val="32"/>
        </w:rPr>
      </w:pPr>
      <w:r>
        <w:rPr>
          <w:rFonts w:hint="eastAsia" w:ascii="宋体" w:hAnsi="宋体"/>
          <w:b/>
          <w:sz w:val="32"/>
          <w:szCs w:val="32"/>
        </w:rPr>
        <w:t>报价清单</w:t>
      </w:r>
    </w:p>
    <w:p>
      <w:pPr>
        <w:spacing w:line="400" w:lineRule="exact"/>
        <w:jc w:val="center"/>
        <w:rPr>
          <w:rFonts w:ascii="宋体" w:hAnsi="宋体"/>
          <w:b/>
          <w:sz w:val="32"/>
          <w:szCs w:val="32"/>
        </w:rPr>
      </w:pP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37"/>
        <w:gridCol w:w="1543"/>
        <w:gridCol w:w="1757"/>
        <w:gridCol w:w="2134"/>
        <w:gridCol w:w="740"/>
        <w:gridCol w:w="1349"/>
        <w:gridCol w:w="135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序号</w:t>
            </w:r>
          </w:p>
        </w:tc>
        <w:tc>
          <w:tcPr>
            <w:tcW w:w="794" w:type="pct"/>
            <w:shd w:val="clear" w:color="auto" w:fill="auto"/>
            <w:vAlign w:val="center"/>
          </w:tcPr>
          <w:p>
            <w:pPr>
              <w:jc w:val="center"/>
            </w:pPr>
            <w:r>
              <w:rPr>
                <w:rFonts w:hint="eastAsia"/>
              </w:rPr>
              <w:t>服务类型</w:t>
            </w:r>
          </w:p>
        </w:tc>
        <w:tc>
          <w:tcPr>
            <w:tcW w:w="904" w:type="pct"/>
            <w:shd w:val="clear" w:color="auto" w:fill="auto"/>
            <w:vAlign w:val="center"/>
          </w:tcPr>
          <w:p>
            <w:pPr>
              <w:jc w:val="center"/>
            </w:pPr>
            <w:r>
              <w:rPr>
                <w:rFonts w:hint="eastAsia"/>
              </w:rPr>
              <w:t>对应主机型号</w:t>
            </w:r>
          </w:p>
        </w:tc>
        <w:tc>
          <w:tcPr>
            <w:tcW w:w="1098" w:type="pct"/>
            <w:shd w:val="clear" w:color="auto" w:fill="auto"/>
            <w:vAlign w:val="center"/>
          </w:tcPr>
          <w:p>
            <w:pPr>
              <w:jc w:val="center"/>
            </w:pPr>
            <w:r>
              <w:rPr>
                <w:rFonts w:hint="eastAsia"/>
              </w:rPr>
              <w:t>产品名称</w:t>
            </w:r>
          </w:p>
        </w:tc>
        <w:tc>
          <w:tcPr>
            <w:tcW w:w="381" w:type="pct"/>
            <w:shd w:val="clear" w:color="auto" w:fill="auto"/>
            <w:vAlign w:val="center"/>
          </w:tcPr>
          <w:p>
            <w:pPr>
              <w:jc w:val="center"/>
            </w:pPr>
            <w:r>
              <w:rPr>
                <w:rFonts w:hint="eastAsia"/>
              </w:rPr>
              <w:t>数量</w:t>
            </w:r>
          </w:p>
        </w:tc>
        <w:tc>
          <w:tcPr>
            <w:tcW w:w="694" w:type="pct"/>
            <w:vAlign w:val="center"/>
          </w:tcPr>
          <w:p>
            <w:pPr>
              <w:widowControl/>
              <w:jc w:val="center"/>
              <w:rPr>
                <w:rFonts w:ascii="宋体" w:hAnsi="宋体" w:cs="宋体"/>
                <w:bCs/>
                <w:kern w:val="0"/>
              </w:rPr>
            </w:pPr>
            <w:r>
              <w:rPr>
                <w:rFonts w:hint="eastAsia" w:ascii="宋体" w:hAnsi="宋体" w:cs="宋体"/>
                <w:bCs/>
                <w:kern w:val="0"/>
              </w:rPr>
              <w:t>最高限价（元）</w:t>
            </w:r>
          </w:p>
        </w:tc>
        <w:tc>
          <w:tcPr>
            <w:tcW w:w="693" w:type="pct"/>
          </w:tcPr>
          <w:p>
            <w:pPr>
              <w:widowControl/>
              <w:jc w:val="center"/>
              <w:rPr>
                <w:rFonts w:ascii="宋体" w:hAnsi="宋体" w:cs="宋体"/>
                <w:bCs/>
                <w:kern w:val="0"/>
              </w:rPr>
            </w:pPr>
            <w:r>
              <w:rPr>
                <w:rFonts w:hint="eastAsia" w:ascii="宋体" w:hAnsi="宋体" w:cs="宋体"/>
                <w:bCs/>
                <w:kern w:val="0"/>
              </w:rPr>
              <w:t>报价</w:t>
            </w:r>
          </w:p>
          <w:p>
            <w:pPr>
              <w:widowControl/>
              <w:jc w:val="center"/>
              <w:rPr>
                <w:rFonts w:ascii="宋体" w:hAnsi="宋体" w:cs="宋体"/>
                <w:bCs/>
                <w:kern w:val="0"/>
              </w:rPr>
            </w:pPr>
            <w:r>
              <w:rPr>
                <w:rFonts w:hint="eastAsia" w:ascii="宋体" w:hAnsi="宋体" w:cs="宋体"/>
                <w:bCs/>
                <w:kern w:val="0"/>
              </w:rPr>
              <w:t>（元）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1</w:t>
            </w:r>
          </w:p>
        </w:tc>
        <w:tc>
          <w:tcPr>
            <w:tcW w:w="794" w:type="pct"/>
            <w:vMerge w:val="restart"/>
            <w:shd w:val="clear" w:color="auto" w:fill="auto"/>
            <w:vAlign w:val="center"/>
          </w:tcPr>
          <w:p>
            <w:r>
              <w:rPr>
                <w:rFonts w:hint="eastAsia"/>
              </w:rPr>
              <w:t>备品备件服务</w:t>
            </w:r>
          </w:p>
        </w:tc>
        <w:tc>
          <w:tcPr>
            <w:tcW w:w="904" w:type="pct"/>
            <w:vMerge w:val="restart"/>
            <w:shd w:val="clear" w:color="auto" w:fill="auto"/>
            <w:vAlign w:val="center"/>
          </w:tcPr>
          <w:p>
            <w:r>
              <w:rPr>
                <w:rFonts w:hint="eastAsia"/>
              </w:rPr>
              <w:t>UPS主机（伊顿93E-60kVA）</w:t>
            </w:r>
          </w:p>
        </w:tc>
        <w:tc>
          <w:tcPr>
            <w:tcW w:w="1098" w:type="pct"/>
            <w:shd w:val="clear" w:color="auto" w:fill="auto"/>
            <w:vAlign w:val="center"/>
          </w:tcPr>
          <w:p>
            <w:r>
              <w:rPr>
                <w:rFonts w:hint="eastAsia"/>
              </w:rPr>
              <w:t>通讯板</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cs="等线"/>
                <w:kern w:val="0"/>
              </w:rPr>
              <w:t>7554</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2</w:t>
            </w:r>
          </w:p>
        </w:tc>
        <w:tc>
          <w:tcPr>
            <w:tcW w:w="794" w:type="pct"/>
            <w:vMerge w:val="continue"/>
            <w:vAlign w:val="center"/>
          </w:tcPr>
          <w:p/>
        </w:tc>
        <w:tc>
          <w:tcPr>
            <w:tcW w:w="904" w:type="pct"/>
            <w:vMerge w:val="continue"/>
            <w:vAlign w:val="center"/>
          </w:tcPr>
          <w:p/>
        </w:tc>
        <w:tc>
          <w:tcPr>
            <w:tcW w:w="1098" w:type="pct"/>
            <w:shd w:val="clear" w:color="auto" w:fill="auto"/>
            <w:vAlign w:val="center"/>
          </w:tcPr>
          <w:p>
            <w:r>
              <w:rPr>
                <w:rFonts w:hint="eastAsia"/>
              </w:rPr>
              <w:t>控制板</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cs="等线"/>
                <w:kern w:val="0"/>
              </w:rPr>
              <w:t>8942</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3</w:t>
            </w:r>
          </w:p>
        </w:tc>
        <w:tc>
          <w:tcPr>
            <w:tcW w:w="794" w:type="pct"/>
            <w:vMerge w:val="continue"/>
            <w:vAlign w:val="center"/>
          </w:tcPr>
          <w:p/>
        </w:tc>
        <w:tc>
          <w:tcPr>
            <w:tcW w:w="904" w:type="pct"/>
            <w:vMerge w:val="continue"/>
            <w:vAlign w:val="center"/>
          </w:tcPr>
          <w:p/>
        </w:tc>
        <w:tc>
          <w:tcPr>
            <w:tcW w:w="1098" w:type="pct"/>
            <w:shd w:val="clear" w:color="auto" w:fill="auto"/>
            <w:vAlign w:val="center"/>
          </w:tcPr>
          <w:p>
            <w:r>
              <w:rPr>
                <w:rFonts w:hint="eastAsia"/>
              </w:rPr>
              <w:t>接口板</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cs="等线"/>
                <w:kern w:val="0"/>
              </w:rPr>
              <w:t>5320</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4</w:t>
            </w:r>
          </w:p>
        </w:tc>
        <w:tc>
          <w:tcPr>
            <w:tcW w:w="794" w:type="pct"/>
            <w:vMerge w:val="continue"/>
            <w:vAlign w:val="center"/>
          </w:tcPr>
          <w:p/>
        </w:tc>
        <w:tc>
          <w:tcPr>
            <w:tcW w:w="904" w:type="pct"/>
            <w:vMerge w:val="continue"/>
            <w:vAlign w:val="center"/>
          </w:tcPr>
          <w:p/>
        </w:tc>
        <w:tc>
          <w:tcPr>
            <w:tcW w:w="1098" w:type="pct"/>
            <w:shd w:val="clear" w:color="auto" w:fill="auto"/>
            <w:vAlign w:val="center"/>
          </w:tcPr>
          <w:p>
            <w:r>
              <w:rPr>
                <w:rFonts w:hint="eastAsia"/>
              </w:rPr>
              <w:t>整流模块</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cs="等线"/>
                <w:kern w:val="0"/>
              </w:rPr>
              <w:t>25172</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5</w:t>
            </w:r>
          </w:p>
        </w:tc>
        <w:tc>
          <w:tcPr>
            <w:tcW w:w="794" w:type="pct"/>
            <w:vMerge w:val="continue"/>
            <w:vAlign w:val="center"/>
          </w:tcPr>
          <w:p/>
        </w:tc>
        <w:tc>
          <w:tcPr>
            <w:tcW w:w="904" w:type="pct"/>
            <w:vMerge w:val="continue"/>
            <w:vAlign w:val="center"/>
          </w:tcPr>
          <w:p/>
        </w:tc>
        <w:tc>
          <w:tcPr>
            <w:tcW w:w="1098" w:type="pct"/>
            <w:shd w:val="clear" w:color="auto" w:fill="auto"/>
            <w:vAlign w:val="center"/>
          </w:tcPr>
          <w:p>
            <w:r>
              <w:rPr>
                <w:rFonts w:hint="eastAsia"/>
              </w:rPr>
              <w:t>逆变模块</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cs="等线"/>
                <w:kern w:val="0"/>
              </w:rPr>
              <w:t>25172</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6</w:t>
            </w:r>
          </w:p>
        </w:tc>
        <w:tc>
          <w:tcPr>
            <w:tcW w:w="794" w:type="pct"/>
            <w:vMerge w:val="continue"/>
            <w:vAlign w:val="center"/>
          </w:tcPr>
          <w:p/>
        </w:tc>
        <w:tc>
          <w:tcPr>
            <w:tcW w:w="904" w:type="pct"/>
            <w:vMerge w:val="continue"/>
            <w:vAlign w:val="center"/>
          </w:tcPr>
          <w:p/>
        </w:tc>
        <w:tc>
          <w:tcPr>
            <w:tcW w:w="1098" w:type="pct"/>
            <w:shd w:val="clear" w:color="auto" w:fill="auto"/>
            <w:vAlign w:val="center"/>
          </w:tcPr>
          <w:p>
            <w:r>
              <w:rPr>
                <w:rFonts w:hint="eastAsia"/>
              </w:rPr>
              <w:t>电源板</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cs="等线"/>
                <w:kern w:val="0"/>
              </w:rPr>
              <w:t>7158</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7</w:t>
            </w:r>
          </w:p>
        </w:tc>
        <w:tc>
          <w:tcPr>
            <w:tcW w:w="794" w:type="pct"/>
            <w:vMerge w:val="continue"/>
            <w:vAlign w:val="center"/>
          </w:tcPr>
          <w:p/>
        </w:tc>
        <w:tc>
          <w:tcPr>
            <w:tcW w:w="904" w:type="pct"/>
            <w:vMerge w:val="continue"/>
            <w:vAlign w:val="center"/>
          </w:tcPr>
          <w:p/>
        </w:tc>
        <w:tc>
          <w:tcPr>
            <w:tcW w:w="1098" w:type="pct"/>
            <w:shd w:val="clear" w:color="auto" w:fill="auto"/>
            <w:vAlign w:val="center"/>
          </w:tcPr>
          <w:p>
            <w:r>
              <w:rPr>
                <w:rFonts w:hint="eastAsia"/>
              </w:rPr>
              <w:t>静态旁路板</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cs="等线"/>
                <w:kern w:val="0"/>
              </w:rPr>
              <w:t>20622</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8</w:t>
            </w:r>
          </w:p>
        </w:tc>
        <w:tc>
          <w:tcPr>
            <w:tcW w:w="794" w:type="pct"/>
            <w:vMerge w:val="continue"/>
            <w:vAlign w:val="center"/>
          </w:tcPr>
          <w:p/>
        </w:tc>
        <w:tc>
          <w:tcPr>
            <w:tcW w:w="904" w:type="pct"/>
            <w:vMerge w:val="continue"/>
            <w:vAlign w:val="center"/>
          </w:tcPr>
          <w:p/>
        </w:tc>
        <w:tc>
          <w:tcPr>
            <w:tcW w:w="1098" w:type="pct"/>
            <w:shd w:val="clear" w:color="auto" w:fill="auto"/>
            <w:vAlign w:val="center"/>
          </w:tcPr>
          <w:p>
            <w:r>
              <w:rPr>
                <w:rFonts w:hint="eastAsia"/>
              </w:rPr>
              <w:t>并机板</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cs="等线"/>
                <w:kern w:val="0"/>
              </w:rPr>
              <w:t>6481</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9</w:t>
            </w:r>
          </w:p>
        </w:tc>
        <w:tc>
          <w:tcPr>
            <w:tcW w:w="794" w:type="pct"/>
            <w:vMerge w:val="continue"/>
            <w:vAlign w:val="center"/>
          </w:tcPr>
          <w:p/>
        </w:tc>
        <w:tc>
          <w:tcPr>
            <w:tcW w:w="904" w:type="pct"/>
            <w:vMerge w:val="continue"/>
            <w:vAlign w:val="center"/>
          </w:tcPr>
          <w:p/>
        </w:tc>
        <w:tc>
          <w:tcPr>
            <w:tcW w:w="1098" w:type="pct"/>
            <w:shd w:val="clear" w:color="auto" w:fill="auto"/>
            <w:vAlign w:val="center"/>
          </w:tcPr>
          <w:p>
            <w:r>
              <w:rPr>
                <w:rFonts w:hint="eastAsia"/>
              </w:rPr>
              <w:t>初级滤波板</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cs="等线"/>
                <w:kern w:val="0"/>
              </w:rPr>
              <w:t>9347</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10</w:t>
            </w:r>
          </w:p>
        </w:tc>
        <w:tc>
          <w:tcPr>
            <w:tcW w:w="794" w:type="pct"/>
            <w:vMerge w:val="continue"/>
            <w:vAlign w:val="center"/>
          </w:tcPr>
          <w:p/>
        </w:tc>
        <w:tc>
          <w:tcPr>
            <w:tcW w:w="904" w:type="pct"/>
            <w:vMerge w:val="continue"/>
            <w:vAlign w:val="center"/>
          </w:tcPr>
          <w:p/>
        </w:tc>
        <w:tc>
          <w:tcPr>
            <w:tcW w:w="1098" w:type="pct"/>
            <w:shd w:val="clear" w:color="auto" w:fill="auto"/>
            <w:vAlign w:val="center"/>
          </w:tcPr>
          <w:p>
            <w:r>
              <w:rPr>
                <w:rFonts w:hint="eastAsia"/>
              </w:rPr>
              <w:t>电源风扇</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cs="等线"/>
                <w:kern w:val="0"/>
              </w:rPr>
              <w:t>3507</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11</w:t>
            </w:r>
          </w:p>
        </w:tc>
        <w:tc>
          <w:tcPr>
            <w:tcW w:w="794" w:type="pct"/>
            <w:vMerge w:val="continue"/>
            <w:vAlign w:val="center"/>
          </w:tcPr>
          <w:p/>
        </w:tc>
        <w:tc>
          <w:tcPr>
            <w:tcW w:w="904" w:type="pct"/>
            <w:vMerge w:val="continue"/>
            <w:vAlign w:val="center"/>
          </w:tcPr>
          <w:p/>
        </w:tc>
        <w:tc>
          <w:tcPr>
            <w:tcW w:w="1098" w:type="pct"/>
            <w:shd w:val="clear" w:color="auto" w:fill="auto"/>
            <w:vAlign w:val="center"/>
          </w:tcPr>
          <w:p>
            <w:r>
              <w:rPr>
                <w:rFonts w:hint="eastAsia"/>
              </w:rPr>
              <w:t>模块风扇</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cs="等线"/>
                <w:kern w:val="0"/>
              </w:rPr>
              <w:t>3507</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12</w:t>
            </w:r>
          </w:p>
        </w:tc>
        <w:tc>
          <w:tcPr>
            <w:tcW w:w="794" w:type="pct"/>
            <w:vMerge w:val="continue"/>
            <w:vAlign w:val="center"/>
          </w:tcPr>
          <w:p/>
        </w:tc>
        <w:tc>
          <w:tcPr>
            <w:tcW w:w="904" w:type="pct"/>
            <w:vMerge w:val="continue"/>
            <w:vAlign w:val="center"/>
          </w:tcPr>
          <w:p/>
        </w:tc>
        <w:tc>
          <w:tcPr>
            <w:tcW w:w="1098" w:type="pct"/>
            <w:shd w:val="clear" w:color="auto" w:fill="auto"/>
            <w:vAlign w:val="center"/>
          </w:tcPr>
          <w:p>
            <w:r>
              <w:rPr>
                <w:rFonts w:hint="eastAsia"/>
              </w:rPr>
              <w:t>旁路风扇</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cs="等线"/>
                <w:kern w:val="0"/>
              </w:rPr>
              <w:t>3507</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13</w:t>
            </w:r>
          </w:p>
        </w:tc>
        <w:tc>
          <w:tcPr>
            <w:tcW w:w="794" w:type="pct"/>
            <w:vMerge w:val="continue"/>
            <w:vAlign w:val="center"/>
          </w:tcPr>
          <w:p/>
        </w:tc>
        <w:tc>
          <w:tcPr>
            <w:tcW w:w="904" w:type="pct"/>
            <w:vMerge w:val="continue"/>
            <w:vAlign w:val="center"/>
          </w:tcPr>
          <w:p/>
        </w:tc>
        <w:tc>
          <w:tcPr>
            <w:tcW w:w="1098" w:type="pct"/>
            <w:shd w:val="clear" w:color="auto" w:fill="auto"/>
            <w:vAlign w:val="center"/>
          </w:tcPr>
          <w:p>
            <w:r>
              <w:rPr>
                <w:rFonts w:hint="eastAsia"/>
              </w:rPr>
              <w:t>防尘网</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cs="等线"/>
                <w:kern w:val="0"/>
              </w:rPr>
              <w:t>1553</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14</w:t>
            </w:r>
          </w:p>
        </w:tc>
        <w:tc>
          <w:tcPr>
            <w:tcW w:w="794" w:type="pct"/>
            <w:vMerge w:val="continue"/>
            <w:vAlign w:val="center"/>
          </w:tcPr>
          <w:p/>
        </w:tc>
        <w:tc>
          <w:tcPr>
            <w:tcW w:w="904" w:type="pct"/>
            <w:vMerge w:val="continue"/>
            <w:vAlign w:val="center"/>
          </w:tcPr>
          <w:p/>
        </w:tc>
        <w:tc>
          <w:tcPr>
            <w:tcW w:w="1098" w:type="pct"/>
            <w:shd w:val="clear" w:color="auto" w:fill="auto"/>
            <w:vAlign w:val="center"/>
          </w:tcPr>
          <w:p>
            <w:r>
              <w:rPr>
                <w:rFonts w:hint="eastAsia"/>
              </w:rPr>
              <w:t>电容</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cs="等线"/>
                <w:kern w:val="0"/>
              </w:rPr>
              <w:t>3912</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15</w:t>
            </w:r>
          </w:p>
        </w:tc>
        <w:tc>
          <w:tcPr>
            <w:tcW w:w="794" w:type="pct"/>
            <w:vMerge w:val="continue"/>
            <w:vAlign w:val="center"/>
          </w:tcPr>
          <w:p/>
        </w:tc>
        <w:tc>
          <w:tcPr>
            <w:tcW w:w="904" w:type="pct"/>
            <w:vMerge w:val="continue"/>
            <w:vAlign w:val="center"/>
          </w:tcPr>
          <w:p/>
        </w:tc>
        <w:tc>
          <w:tcPr>
            <w:tcW w:w="1098" w:type="pct"/>
            <w:shd w:val="clear" w:color="auto" w:fill="auto"/>
            <w:vAlign w:val="center"/>
          </w:tcPr>
          <w:p>
            <w:r>
              <w:rPr>
                <w:rFonts w:hint="eastAsia"/>
              </w:rPr>
              <w:t>蓄电池</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cs="等线"/>
                <w:kern w:val="0"/>
              </w:rPr>
              <w:t>1043</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16</w:t>
            </w:r>
          </w:p>
        </w:tc>
        <w:tc>
          <w:tcPr>
            <w:tcW w:w="794" w:type="pct"/>
            <w:vMerge w:val="restart"/>
            <w:shd w:val="clear" w:color="auto" w:fill="auto"/>
            <w:vAlign w:val="center"/>
          </w:tcPr>
          <w:p>
            <w:r>
              <w:rPr>
                <w:rFonts w:hint="eastAsia"/>
              </w:rPr>
              <w:t>备品备件服务</w:t>
            </w:r>
          </w:p>
        </w:tc>
        <w:tc>
          <w:tcPr>
            <w:tcW w:w="904" w:type="pct"/>
            <w:vMerge w:val="restart"/>
            <w:shd w:val="clear" w:color="auto" w:fill="auto"/>
            <w:vAlign w:val="center"/>
          </w:tcPr>
          <w:p>
            <w:r>
              <w:rPr>
                <w:rFonts w:hint="eastAsia"/>
              </w:rPr>
              <w:t>精密空调（伊顿SAC1DA47）</w:t>
            </w:r>
          </w:p>
        </w:tc>
        <w:tc>
          <w:tcPr>
            <w:tcW w:w="1098" w:type="pct"/>
            <w:shd w:val="clear" w:color="auto" w:fill="auto"/>
            <w:vAlign w:val="center"/>
          </w:tcPr>
          <w:p>
            <w:r>
              <w:rPr>
                <w:rFonts w:hint="eastAsia"/>
              </w:rPr>
              <w:t>压缩机</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cs="等线"/>
                <w:kern w:val="0"/>
              </w:rPr>
              <w:t>52780</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17</w:t>
            </w:r>
          </w:p>
        </w:tc>
        <w:tc>
          <w:tcPr>
            <w:tcW w:w="794" w:type="pct"/>
            <w:vMerge w:val="continue"/>
            <w:vAlign w:val="center"/>
          </w:tcPr>
          <w:p/>
        </w:tc>
        <w:tc>
          <w:tcPr>
            <w:tcW w:w="904" w:type="pct"/>
            <w:vMerge w:val="continue"/>
            <w:vAlign w:val="center"/>
          </w:tcPr>
          <w:p/>
        </w:tc>
        <w:tc>
          <w:tcPr>
            <w:tcW w:w="1098" w:type="pct"/>
            <w:shd w:val="clear" w:color="auto" w:fill="auto"/>
            <w:vAlign w:val="center"/>
          </w:tcPr>
          <w:p>
            <w:r>
              <w:rPr>
                <w:rFonts w:hint="eastAsia"/>
              </w:rPr>
              <w:t>压缩机加热器</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cs="等线"/>
                <w:kern w:val="0"/>
              </w:rPr>
              <w:t>7248</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18</w:t>
            </w:r>
          </w:p>
        </w:tc>
        <w:tc>
          <w:tcPr>
            <w:tcW w:w="794" w:type="pct"/>
            <w:vMerge w:val="continue"/>
            <w:vAlign w:val="center"/>
          </w:tcPr>
          <w:p/>
        </w:tc>
        <w:tc>
          <w:tcPr>
            <w:tcW w:w="904" w:type="pct"/>
            <w:vMerge w:val="continue"/>
            <w:vAlign w:val="center"/>
          </w:tcPr>
          <w:p/>
        </w:tc>
        <w:tc>
          <w:tcPr>
            <w:tcW w:w="1098" w:type="pct"/>
            <w:shd w:val="clear" w:color="auto" w:fill="auto"/>
            <w:vAlign w:val="center"/>
          </w:tcPr>
          <w:p>
            <w:r>
              <w:rPr>
                <w:rFonts w:hint="eastAsia"/>
              </w:rPr>
              <w:t>风机</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cs="等线"/>
                <w:kern w:val="0"/>
              </w:rPr>
              <w:t>34967</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19</w:t>
            </w:r>
          </w:p>
        </w:tc>
        <w:tc>
          <w:tcPr>
            <w:tcW w:w="794" w:type="pct"/>
            <w:vMerge w:val="continue"/>
            <w:vAlign w:val="center"/>
          </w:tcPr>
          <w:p/>
        </w:tc>
        <w:tc>
          <w:tcPr>
            <w:tcW w:w="904" w:type="pct"/>
            <w:vMerge w:val="continue"/>
            <w:vAlign w:val="center"/>
          </w:tcPr>
          <w:p/>
        </w:tc>
        <w:tc>
          <w:tcPr>
            <w:tcW w:w="1098" w:type="pct"/>
            <w:shd w:val="clear" w:color="auto" w:fill="auto"/>
            <w:vAlign w:val="center"/>
          </w:tcPr>
          <w:p>
            <w:r>
              <w:rPr>
                <w:rFonts w:hint="eastAsia"/>
              </w:rPr>
              <w:t>电磁阀</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cs="等线"/>
                <w:kern w:val="0"/>
              </w:rPr>
              <w:t>4487</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20</w:t>
            </w:r>
          </w:p>
        </w:tc>
        <w:tc>
          <w:tcPr>
            <w:tcW w:w="794" w:type="pct"/>
            <w:vMerge w:val="continue"/>
            <w:vAlign w:val="center"/>
          </w:tcPr>
          <w:p/>
        </w:tc>
        <w:tc>
          <w:tcPr>
            <w:tcW w:w="904" w:type="pct"/>
            <w:vMerge w:val="continue"/>
            <w:vAlign w:val="center"/>
          </w:tcPr>
          <w:p/>
        </w:tc>
        <w:tc>
          <w:tcPr>
            <w:tcW w:w="1098" w:type="pct"/>
            <w:shd w:val="clear" w:color="auto" w:fill="auto"/>
            <w:vAlign w:val="center"/>
          </w:tcPr>
          <w:p>
            <w:r>
              <w:rPr>
                <w:rFonts w:hint="eastAsia"/>
              </w:rPr>
              <w:t>HP/LP开关</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cs="等线"/>
                <w:kern w:val="0"/>
              </w:rPr>
              <w:t>3470</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21</w:t>
            </w:r>
          </w:p>
        </w:tc>
        <w:tc>
          <w:tcPr>
            <w:tcW w:w="794" w:type="pct"/>
            <w:vMerge w:val="continue"/>
            <w:vAlign w:val="center"/>
          </w:tcPr>
          <w:p/>
        </w:tc>
        <w:tc>
          <w:tcPr>
            <w:tcW w:w="904" w:type="pct"/>
            <w:vMerge w:val="continue"/>
            <w:vAlign w:val="center"/>
          </w:tcPr>
          <w:p/>
        </w:tc>
        <w:tc>
          <w:tcPr>
            <w:tcW w:w="1098" w:type="pct"/>
            <w:shd w:val="clear" w:color="auto" w:fill="auto"/>
            <w:vAlign w:val="center"/>
          </w:tcPr>
          <w:p>
            <w:r>
              <w:rPr>
                <w:rFonts w:hint="eastAsia"/>
              </w:rPr>
              <w:t>干燥过滤器</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cs="等线"/>
                <w:kern w:val="0"/>
              </w:rPr>
              <w:t>1630</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22</w:t>
            </w:r>
          </w:p>
        </w:tc>
        <w:tc>
          <w:tcPr>
            <w:tcW w:w="794" w:type="pct"/>
            <w:vMerge w:val="continue"/>
            <w:vAlign w:val="center"/>
          </w:tcPr>
          <w:p/>
        </w:tc>
        <w:tc>
          <w:tcPr>
            <w:tcW w:w="904" w:type="pct"/>
            <w:vMerge w:val="continue"/>
            <w:vAlign w:val="center"/>
          </w:tcPr>
          <w:p/>
        </w:tc>
        <w:tc>
          <w:tcPr>
            <w:tcW w:w="1098" w:type="pct"/>
            <w:shd w:val="clear" w:color="auto" w:fill="auto"/>
            <w:vAlign w:val="center"/>
          </w:tcPr>
          <w:p>
            <w:r>
              <w:rPr>
                <w:rFonts w:hint="eastAsia"/>
              </w:rPr>
              <w:t>空调加湿罐/个</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cs="等线"/>
                <w:kern w:val="0"/>
              </w:rPr>
              <w:t>2947</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23</w:t>
            </w:r>
          </w:p>
        </w:tc>
        <w:tc>
          <w:tcPr>
            <w:tcW w:w="794" w:type="pct"/>
            <w:vMerge w:val="continue"/>
            <w:vAlign w:val="center"/>
          </w:tcPr>
          <w:p/>
        </w:tc>
        <w:tc>
          <w:tcPr>
            <w:tcW w:w="904" w:type="pct"/>
            <w:vMerge w:val="continue"/>
            <w:vAlign w:val="center"/>
          </w:tcPr>
          <w:p/>
        </w:tc>
        <w:tc>
          <w:tcPr>
            <w:tcW w:w="1098" w:type="pct"/>
            <w:shd w:val="clear" w:color="auto" w:fill="auto"/>
            <w:vAlign w:val="center"/>
          </w:tcPr>
          <w:p>
            <w:r>
              <w:rPr>
                <w:rFonts w:hint="eastAsia"/>
              </w:rPr>
              <w:t>上水阀</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cs="等线"/>
                <w:kern w:val="0"/>
              </w:rPr>
              <w:t>1557</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24</w:t>
            </w:r>
          </w:p>
        </w:tc>
        <w:tc>
          <w:tcPr>
            <w:tcW w:w="794" w:type="pct"/>
            <w:vMerge w:val="continue"/>
            <w:vAlign w:val="center"/>
          </w:tcPr>
          <w:p/>
        </w:tc>
        <w:tc>
          <w:tcPr>
            <w:tcW w:w="904" w:type="pct"/>
            <w:vMerge w:val="continue"/>
            <w:vAlign w:val="center"/>
          </w:tcPr>
          <w:p/>
        </w:tc>
        <w:tc>
          <w:tcPr>
            <w:tcW w:w="1098" w:type="pct"/>
            <w:shd w:val="clear" w:color="auto" w:fill="auto"/>
            <w:vAlign w:val="center"/>
          </w:tcPr>
          <w:p>
            <w:r>
              <w:rPr>
                <w:rFonts w:hint="eastAsia"/>
              </w:rPr>
              <w:t>热力膨胀阀</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cs="等线"/>
                <w:kern w:val="0"/>
              </w:rPr>
              <w:t>3857</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25</w:t>
            </w:r>
          </w:p>
        </w:tc>
        <w:tc>
          <w:tcPr>
            <w:tcW w:w="794" w:type="pct"/>
            <w:vMerge w:val="continue"/>
            <w:vAlign w:val="center"/>
          </w:tcPr>
          <w:p/>
        </w:tc>
        <w:tc>
          <w:tcPr>
            <w:tcW w:w="904" w:type="pct"/>
            <w:vMerge w:val="continue"/>
            <w:vAlign w:val="center"/>
          </w:tcPr>
          <w:p/>
        </w:tc>
        <w:tc>
          <w:tcPr>
            <w:tcW w:w="1098" w:type="pct"/>
            <w:shd w:val="clear" w:color="auto" w:fill="auto"/>
            <w:vAlign w:val="center"/>
          </w:tcPr>
          <w:p>
            <w:r>
              <w:rPr>
                <w:rFonts w:hint="eastAsia"/>
              </w:rPr>
              <w:t>温湿度传感器</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cs="等线"/>
                <w:kern w:val="0"/>
              </w:rPr>
              <w:t>6683</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26</w:t>
            </w:r>
          </w:p>
        </w:tc>
        <w:tc>
          <w:tcPr>
            <w:tcW w:w="794" w:type="pct"/>
            <w:vMerge w:val="continue"/>
            <w:vAlign w:val="center"/>
          </w:tcPr>
          <w:p/>
        </w:tc>
        <w:tc>
          <w:tcPr>
            <w:tcW w:w="904" w:type="pct"/>
            <w:vMerge w:val="continue"/>
            <w:vAlign w:val="center"/>
          </w:tcPr>
          <w:p/>
        </w:tc>
        <w:tc>
          <w:tcPr>
            <w:tcW w:w="1098" w:type="pct"/>
            <w:shd w:val="clear" w:color="auto" w:fill="auto"/>
            <w:vAlign w:val="center"/>
          </w:tcPr>
          <w:p>
            <w:r>
              <w:rPr>
                <w:rFonts w:hint="eastAsia"/>
              </w:rPr>
              <w:t>主控制板</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cs="等线"/>
                <w:kern w:val="0"/>
              </w:rPr>
              <w:t>31500</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27</w:t>
            </w:r>
          </w:p>
        </w:tc>
        <w:tc>
          <w:tcPr>
            <w:tcW w:w="794" w:type="pct"/>
            <w:vMerge w:val="continue"/>
            <w:vAlign w:val="center"/>
          </w:tcPr>
          <w:p/>
        </w:tc>
        <w:tc>
          <w:tcPr>
            <w:tcW w:w="904" w:type="pct"/>
            <w:vMerge w:val="continue"/>
            <w:vAlign w:val="center"/>
          </w:tcPr>
          <w:p/>
        </w:tc>
        <w:tc>
          <w:tcPr>
            <w:tcW w:w="1098" w:type="pct"/>
            <w:shd w:val="clear" w:color="auto" w:fill="auto"/>
            <w:vAlign w:val="center"/>
          </w:tcPr>
          <w:p>
            <w:r>
              <w:rPr>
                <w:rFonts w:hint="eastAsia"/>
              </w:rPr>
              <w:t>主控制器</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cs="等线"/>
                <w:kern w:val="0"/>
              </w:rPr>
              <w:t>19950</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28</w:t>
            </w:r>
          </w:p>
        </w:tc>
        <w:tc>
          <w:tcPr>
            <w:tcW w:w="794" w:type="pct"/>
            <w:vMerge w:val="continue"/>
            <w:vAlign w:val="center"/>
          </w:tcPr>
          <w:p/>
        </w:tc>
        <w:tc>
          <w:tcPr>
            <w:tcW w:w="904" w:type="pct"/>
            <w:vMerge w:val="continue"/>
            <w:vAlign w:val="center"/>
          </w:tcPr>
          <w:p/>
        </w:tc>
        <w:tc>
          <w:tcPr>
            <w:tcW w:w="1098" w:type="pct"/>
            <w:shd w:val="clear" w:color="auto" w:fill="auto"/>
            <w:vAlign w:val="center"/>
          </w:tcPr>
          <w:p>
            <w:r>
              <w:rPr>
                <w:rFonts w:hint="eastAsia"/>
              </w:rPr>
              <w:t>QF1、2、3、4/个</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cs="等线"/>
                <w:kern w:val="0"/>
              </w:rPr>
              <w:t>2099</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29</w:t>
            </w:r>
          </w:p>
        </w:tc>
        <w:tc>
          <w:tcPr>
            <w:tcW w:w="794" w:type="pct"/>
            <w:vMerge w:val="continue"/>
            <w:vAlign w:val="center"/>
          </w:tcPr>
          <w:p/>
        </w:tc>
        <w:tc>
          <w:tcPr>
            <w:tcW w:w="904" w:type="pct"/>
            <w:vMerge w:val="continue"/>
            <w:vAlign w:val="center"/>
          </w:tcPr>
          <w:p/>
        </w:tc>
        <w:tc>
          <w:tcPr>
            <w:tcW w:w="1098" w:type="pct"/>
            <w:shd w:val="clear" w:color="auto" w:fill="auto"/>
            <w:vAlign w:val="center"/>
          </w:tcPr>
          <w:p>
            <w:r>
              <w:rPr>
                <w:rFonts w:hint="eastAsia"/>
              </w:rPr>
              <w:t>KM1、2、3、4/个</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cs="等线"/>
                <w:kern w:val="0"/>
              </w:rPr>
              <w:t>2099</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30</w:t>
            </w:r>
          </w:p>
        </w:tc>
        <w:tc>
          <w:tcPr>
            <w:tcW w:w="794" w:type="pct"/>
            <w:vMerge w:val="continue"/>
            <w:vAlign w:val="center"/>
          </w:tcPr>
          <w:p/>
        </w:tc>
        <w:tc>
          <w:tcPr>
            <w:tcW w:w="904" w:type="pct"/>
            <w:vMerge w:val="continue"/>
            <w:vAlign w:val="center"/>
          </w:tcPr>
          <w:p/>
        </w:tc>
        <w:tc>
          <w:tcPr>
            <w:tcW w:w="1098" w:type="pct"/>
            <w:shd w:val="clear" w:color="auto" w:fill="auto"/>
            <w:vAlign w:val="center"/>
          </w:tcPr>
          <w:p>
            <w:r>
              <w:rPr>
                <w:rFonts w:hint="eastAsia"/>
              </w:rPr>
              <w:t>压缩机过热保护器</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cs="等线"/>
                <w:kern w:val="0"/>
              </w:rPr>
              <w:t>12207</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31</w:t>
            </w:r>
          </w:p>
        </w:tc>
        <w:tc>
          <w:tcPr>
            <w:tcW w:w="794" w:type="pct"/>
            <w:vMerge w:val="continue"/>
            <w:vAlign w:val="center"/>
          </w:tcPr>
          <w:p/>
        </w:tc>
        <w:tc>
          <w:tcPr>
            <w:tcW w:w="904" w:type="pct"/>
            <w:vMerge w:val="continue"/>
            <w:vAlign w:val="center"/>
          </w:tcPr>
          <w:p/>
        </w:tc>
        <w:tc>
          <w:tcPr>
            <w:tcW w:w="1098" w:type="pct"/>
            <w:shd w:val="clear" w:color="auto" w:fill="auto"/>
            <w:vAlign w:val="center"/>
          </w:tcPr>
          <w:p>
            <w:r>
              <w:rPr>
                <w:rFonts w:hint="eastAsia"/>
              </w:rPr>
              <w:t>排水阀线圈</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cs="等线"/>
                <w:kern w:val="0"/>
              </w:rPr>
              <w:t>7960</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32</w:t>
            </w:r>
          </w:p>
        </w:tc>
        <w:tc>
          <w:tcPr>
            <w:tcW w:w="794" w:type="pct"/>
            <w:vMerge w:val="continue"/>
            <w:vAlign w:val="center"/>
          </w:tcPr>
          <w:p/>
        </w:tc>
        <w:tc>
          <w:tcPr>
            <w:tcW w:w="904" w:type="pct"/>
            <w:vMerge w:val="continue"/>
            <w:vAlign w:val="center"/>
          </w:tcPr>
          <w:p/>
        </w:tc>
        <w:tc>
          <w:tcPr>
            <w:tcW w:w="1098" w:type="pct"/>
            <w:shd w:val="clear" w:color="auto" w:fill="auto"/>
            <w:vAlign w:val="center"/>
          </w:tcPr>
          <w:p>
            <w:r>
              <w:rPr>
                <w:rFonts w:hint="eastAsia"/>
              </w:rPr>
              <w:t>电加热器</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cs="等线"/>
                <w:kern w:val="0"/>
              </w:rPr>
              <w:t>3493</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33</w:t>
            </w:r>
          </w:p>
        </w:tc>
        <w:tc>
          <w:tcPr>
            <w:tcW w:w="794" w:type="pct"/>
            <w:vMerge w:val="continue"/>
            <w:vAlign w:val="center"/>
          </w:tcPr>
          <w:p/>
        </w:tc>
        <w:tc>
          <w:tcPr>
            <w:tcW w:w="904" w:type="pct"/>
            <w:vMerge w:val="continue"/>
            <w:vAlign w:val="center"/>
          </w:tcPr>
          <w:p/>
        </w:tc>
        <w:tc>
          <w:tcPr>
            <w:tcW w:w="1098" w:type="pct"/>
            <w:shd w:val="clear" w:color="auto" w:fill="auto"/>
            <w:vAlign w:val="center"/>
          </w:tcPr>
          <w:p>
            <w:r>
              <w:rPr>
                <w:rFonts w:hint="eastAsia"/>
              </w:rPr>
              <w:t>冷凝器风扇</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cs="等线"/>
                <w:kern w:val="0"/>
              </w:rPr>
              <w:t>5673</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34</w:t>
            </w:r>
          </w:p>
        </w:tc>
        <w:tc>
          <w:tcPr>
            <w:tcW w:w="794" w:type="pct"/>
            <w:vMerge w:val="restart"/>
            <w:shd w:val="clear" w:color="auto" w:fill="auto"/>
            <w:noWrap/>
            <w:vAlign w:val="center"/>
          </w:tcPr>
          <w:p>
            <w:r>
              <w:rPr>
                <w:rFonts w:hint="eastAsia"/>
              </w:rPr>
              <w:t>备品备件服务</w:t>
            </w:r>
          </w:p>
        </w:tc>
        <w:tc>
          <w:tcPr>
            <w:tcW w:w="904" w:type="pct"/>
            <w:vMerge w:val="restart"/>
            <w:shd w:val="clear" w:color="auto" w:fill="auto"/>
            <w:noWrap/>
            <w:vAlign w:val="center"/>
          </w:tcPr>
          <w:p>
            <w:r>
              <w:rPr>
                <w:rFonts w:hint="eastAsia"/>
              </w:rPr>
              <w:t>配电柜</w:t>
            </w:r>
          </w:p>
        </w:tc>
        <w:tc>
          <w:tcPr>
            <w:tcW w:w="1098" w:type="pct"/>
            <w:shd w:val="clear" w:color="auto" w:fill="auto"/>
            <w:vAlign w:val="center"/>
          </w:tcPr>
          <w:p>
            <w:r>
              <w:rPr>
                <w:rFonts w:hint="eastAsia"/>
              </w:rPr>
              <w:t>ABB断路器200A/3P</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cs="等线"/>
                <w:kern w:val="0"/>
              </w:rPr>
              <w:t>2423</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35</w:t>
            </w:r>
          </w:p>
        </w:tc>
        <w:tc>
          <w:tcPr>
            <w:tcW w:w="794" w:type="pct"/>
            <w:vMerge w:val="continue"/>
            <w:vAlign w:val="center"/>
          </w:tcPr>
          <w:p/>
        </w:tc>
        <w:tc>
          <w:tcPr>
            <w:tcW w:w="904" w:type="pct"/>
            <w:vMerge w:val="continue"/>
            <w:vAlign w:val="center"/>
          </w:tcPr>
          <w:p/>
        </w:tc>
        <w:tc>
          <w:tcPr>
            <w:tcW w:w="1098" w:type="pct"/>
            <w:shd w:val="clear" w:color="auto" w:fill="auto"/>
            <w:vAlign w:val="center"/>
          </w:tcPr>
          <w:p>
            <w:r>
              <w:rPr>
                <w:rFonts w:hint="eastAsia"/>
              </w:rPr>
              <w:t>ABB断路器160A/3P</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cs="等线"/>
                <w:kern w:val="0"/>
              </w:rPr>
              <w:t>1753</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36</w:t>
            </w:r>
          </w:p>
        </w:tc>
        <w:tc>
          <w:tcPr>
            <w:tcW w:w="794" w:type="pct"/>
            <w:vMerge w:val="continue"/>
            <w:vAlign w:val="center"/>
          </w:tcPr>
          <w:p/>
        </w:tc>
        <w:tc>
          <w:tcPr>
            <w:tcW w:w="904" w:type="pct"/>
            <w:vMerge w:val="continue"/>
            <w:vAlign w:val="center"/>
          </w:tcPr>
          <w:p/>
        </w:tc>
        <w:tc>
          <w:tcPr>
            <w:tcW w:w="1098" w:type="pct"/>
            <w:shd w:val="clear" w:color="auto" w:fill="auto"/>
            <w:vAlign w:val="center"/>
          </w:tcPr>
          <w:p>
            <w:r>
              <w:rPr>
                <w:rFonts w:hint="eastAsia"/>
              </w:rPr>
              <w:t>ABB断路器100A/3P</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cs="等线"/>
                <w:kern w:val="0"/>
              </w:rPr>
              <w:t>1179</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37</w:t>
            </w:r>
          </w:p>
        </w:tc>
        <w:tc>
          <w:tcPr>
            <w:tcW w:w="794" w:type="pct"/>
            <w:vMerge w:val="continue"/>
            <w:vAlign w:val="center"/>
          </w:tcPr>
          <w:p/>
        </w:tc>
        <w:tc>
          <w:tcPr>
            <w:tcW w:w="904" w:type="pct"/>
            <w:vMerge w:val="continue"/>
            <w:vAlign w:val="center"/>
          </w:tcPr>
          <w:p/>
        </w:tc>
        <w:tc>
          <w:tcPr>
            <w:tcW w:w="1098" w:type="pct"/>
            <w:shd w:val="clear" w:color="auto" w:fill="auto"/>
            <w:vAlign w:val="center"/>
          </w:tcPr>
          <w:p>
            <w:r>
              <w:rPr>
                <w:rFonts w:hint="eastAsia"/>
              </w:rPr>
              <w:t>ABB断路器63A/3P</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cs="等线"/>
                <w:kern w:val="0"/>
              </w:rPr>
              <w:t>781</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38</w:t>
            </w:r>
          </w:p>
        </w:tc>
        <w:tc>
          <w:tcPr>
            <w:tcW w:w="794" w:type="pct"/>
            <w:vMerge w:val="continue"/>
            <w:vAlign w:val="center"/>
          </w:tcPr>
          <w:p/>
        </w:tc>
        <w:tc>
          <w:tcPr>
            <w:tcW w:w="904" w:type="pct"/>
            <w:vMerge w:val="continue"/>
            <w:vAlign w:val="center"/>
          </w:tcPr>
          <w:p/>
        </w:tc>
        <w:tc>
          <w:tcPr>
            <w:tcW w:w="1098" w:type="pct"/>
            <w:shd w:val="clear" w:color="auto" w:fill="auto"/>
            <w:vAlign w:val="center"/>
          </w:tcPr>
          <w:p>
            <w:r>
              <w:rPr>
                <w:rFonts w:hint="eastAsia"/>
              </w:rPr>
              <w:t>ABB断路器32A/3P</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cs="等线"/>
                <w:kern w:val="0"/>
              </w:rPr>
              <w:t>176</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39</w:t>
            </w:r>
          </w:p>
        </w:tc>
        <w:tc>
          <w:tcPr>
            <w:tcW w:w="794" w:type="pct"/>
            <w:vMerge w:val="continue"/>
            <w:vAlign w:val="center"/>
          </w:tcPr>
          <w:p/>
        </w:tc>
        <w:tc>
          <w:tcPr>
            <w:tcW w:w="904" w:type="pct"/>
            <w:vMerge w:val="continue"/>
            <w:vAlign w:val="center"/>
          </w:tcPr>
          <w:p/>
        </w:tc>
        <w:tc>
          <w:tcPr>
            <w:tcW w:w="1098" w:type="pct"/>
            <w:shd w:val="clear" w:color="auto" w:fill="auto"/>
            <w:vAlign w:val="center"/>
          </w:tcPr>
          <w:p>
            <w:r>
              <w:rPr>
                <w:rFonts w:hint="eastAsia"/>
              </w:rPr>
              <w:t>ABB断路器32A/1P</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cs="等线"/>
                <w:kern w:val="0"/>
              </w:rPr>
              <w:t>58</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40</w:t>
            </w:r>
          </w:p>
        </w:tc>
        <w:tc>
          <w:tcPr>
            <w:tcW w:w="794" w:type="pct"/>
            <w:vMerge w:val="continue"/>
            <w:vAlign w:val="center"/>
          </w:tcPr>
          <w:p/>
        </w:tc>
        <w:tc>
          <w:tcPr>
            <w:tcW w:w="904" w:type="pct"/>
            <w:vMerge w:val="continue"/>
            <w:vAlign w:val="center"/>
          </w:tcPr>
          <w:p/>
        </w:tc>
        <w:tc>
          <w:tcPr>
            <w:tcW w:w="1098" w:type="pct"/>
            <w:shd w:val="clear" w:color="auto" w:fill="auto"/>
            <w:vAlign w:val="center"/>
          </w:tcPr>
          <w:p>
            <w:r>
              <w:rPr>
                <w:rFonts w:hint="eastAsia"/>
              </w:rPr>
              <w:t>防雷器（标称通流量40KA）</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cs="等线"/>
                <w:kern w:val="0"/>
              </w:rPr>
              <w:t>1477</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4</w:t>
            </w:r>
            <w:r>
              <w:t>1</w:t>
            </w:r>
          </w:p>
        </w:tc>
        <w:tc>
          <w:tcPr>
            <w:tcW w:w="794" w:type="pct"/>
            <w:vMerge w:val="continue"/>
            <w:vAlign w:val="center"/>
          </w:tcPr>
          <w:p/>
        </w:tc>
        <w:tc>
          <w:tcPr>
            <w:tcW w:w="904" w:type="pct"/>
            <w:vMerge w:val="continue"/>
            <w:vAlign w:val="center"/>
          </w:tcPr>
          <w:p/>
        </w:tc>
        <w:tc>
          <w:tcPr>
            <w:tcW w:w="1098" w:type="pct"/>
            <w:shd w:val="clear" w:color="auto" w:fill="auto"/>
            <w:vAlign w:val="center"/>
          </w:tcPr>
          <w:p>
            <w:r>
              <w:rPr>
                <w:rFonts w:hint="eastAsia"/>
              </w:rPr>
              <w:t>多功能电量仪</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hint="eastAsia" w:cs="等线"/>
                <w:kern w:val="0"/>
              </w:rPr>
              <w:t>1</w:t>
            </w:r>
            <w:r>
              <w:rPr>
                <w:rFonts w:cs="等线"/>
                <w:kern w:val="0"/>
              </w:rPr>
              <w:t>350</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4</w:t>
            </w:r>
            <w:r>
              <w:t>2</w:t>
            </w:r>
          </w:p>
        </w:tc>
        <w:tc>
          <w:tcPr>
            <w:tcW w:w="794" w:type="pct"/>
            <w:vMerge w:val="continue"/>
            <w:vAlign w:val="center"/>
          </w:tcPr>
          <w:p/>
        </w:tc>
        <w:tc>
          <w:tcPr>
            <w:tcW w:w="904" w:type="pct"/>
            <w:vMerge w:val="continue"/>
            <w:vAlign w:val="center"/>
          </w:tcPr>
          <w:p/>
        </w:tc>
        <w:tc>
          <w:tcPr>
            <w:tcW w:w="1098" w:type="pct"/>
            <w:shd w:val="clear" w:color="auto" w:fill="auto"/>
            <w:vAlign w:val="center"/>
          </w:tcPr>
          <w:p>
            <w:r>
              <w:rPr>
                <w:rFonts w:hint="eastAsia"/>
              </w:rPr>
              <w:t>机械式电流表（量程200A）</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hint="eastAsia" w:cs="等线"/>
                <w:kern w:val="0"/>
              </w:rPr>
              <w:t>1</w:t>
            </w:r>
            <w:r>
              <w:rPr>
                <w:rFonts w:cs="等线"/>
                <w:kern w:val="0"/>
              </w:rPr>
              <w:t>03</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4</w:t>
            </w:r>
            <w:r>
              <w:t>3</w:t>
            </w:r>
          </w:p>
        </w:tc>
        <w:tc>
          <w:tcPr>
            <w:tcW w:w="794" w:type="pct"/>
            <w:vMerge w:val="continue"/>
            <w:vAlign w:val="center"/>
          </w:tcPr>
          <w:p/>
        </w:tc>
        <w:tc>
          <w:tcPr>
            <w:tcW w:w="904" w:type="pct"/>
            <w:vMerge w:val="continue"/>
            <w:vAlign w:val="center"/>
          </w:tcPr>
          <w:p/>
        </w:tc>
        <w:tc>
          <w:tcPr>
            <w:tcW w:w="1098" w:type="pct"/>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工业连接器32A</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hint="eastAsia" w:cs="等线"/>
                <w:kern w:val="0"/>
              </w:rPr>
              <w:t>1</w:t>
            </w:r>
            <w:r>
              <w:rPr>
                <w:rFonts w:cs="等线"/>
                <w:kern w:val="0"/>
              </w:rPr>
              <w:t>98</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4</w:t>
            </w:r>
            <w:r>
              <w:t>4</w:t>
            </w:r>
          </w:p>
        </w:tc>
        <w:tc>
          <w:tcPr>
            <w:tcW w:w="794" w:type="pct"/>
            <w:vMerge w:val="continue"/>
            <w:vAlign w:val="center"/>
          </w:tcPr>
          <w:p/>
        </w:tc>
        <w:tc>
          <w:tcPr>
            <w:tcW w:w="904" w:type="pct"/>
            <w:vMerge w:val="continue"/>
            <w:vAlign w:val="center"/>
          </w:tcPr>
          <w:p/>
        </w:tc>
        <w:tc>
          <w:tcPr>
            <w:tcW w:w="1098" w:type="pct"/>
            <w:tcBorders>
              <w:top w:val="nil"/>
              <w:left w:val="single" w:color="auto" w:sz="4" w:space="0"/>
              <w:bottom w:val="single" w:color="auto" w:sz="4" w:space="0"/>
              <w:right w:val="single" w:color="auto" w:sz="4" w:space="0"/>
            </w:tcBorders>
            <w:shd w:val="clear" w:color="auto" w:fill="auto"/>
            <w:vAlign w:val="center"/>
          </w:tcPr>
          <w:p>
            <w:r>
              <w:rPr>
                <w:rFonts w:hint="eastAsia"/>
              </w:rPr>
              <w:t>连接线缆</w:t>
            </w:r>
            <w:r>
              <w:rPr>
                <w:rFonts w:hint="eastAsia"/>
              </w:rPr>
              <w:br w:type="textWrapping"/>
            </w:r>
            <w:r>
              <w:rPr>
                <w:rFonts w:hint="eastAsia"/>
              </w:rPr>
              <w:t>RVV 3*6mm2</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hint="eastAsia" w:cs="等线"/>
                <w:kern w:val="0"/>
              </w:rPr>
              <w:t>2</w:t>
            </w:r>
            <w:r>
              <w:rPr>
                <w:rFonts w:cs="等线"/>
                <w:kern w:val="0"/>
              </w:rPr>
              <w:t>7</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pPr>
            <w:r>
              <w:rPr>
                <w:rFonts w:hint="eastAsia"/>
              </w:rPr>
              <w:t>4</w:t>
            </w:r>
            <w:r>
              <w:t>5</w:t>
            </w:r>
          </w:p>
        </w:tc>
        <w:tc>
          <w:tcPr>
            <w:tcW w:w="794" w:type="pct"/>
            <w:vMerge w:val="continue"/>
            <w:vAlign w:val="center"/>
          </w:tcPr>
          <w:p/>
        </w:tc>
        <w:tc>
          <w:tcPr>
            <w:tcW w:w="904" w:type="pct"/>
            <w:vMerge w:val="continue"/>
            <w:vAlign w:val="center"/>
          </w:tcPr>
          <w:p/>
        </w:tc>
        <w:tc>
          <w:tcPr>
            <w:tcW w:w="1098" w:type="pct"/>
            <w:tcBorders>
              <w:top w:val="nil"/>
              <w:left w:val="single" w:color="auto" w:sz="4" w:space="0"/>
              <w:bottom w:val="nil"/>
              <w:right w:val="single" w:color="auto" w:sz="4" w:space="0"/>
            </w:tcBorders>
            <w:shd w:val="clear" w:color="auto" w:fill="auto"/>
            <w:vAlign w:val="center"/>
          </w:tcPr>
          <w:p>
            <w:r>
              <w:rPr>
                <w:rFonts w:hint="eastAsia"/>
              </w:rPr>
              <w:t>PDU</w:t>
            </w:r>
            <w:r>
              <w:rPr>
                <w:rFonts w:hint="eastAsia"/>
              </w:rPr>
              <w:br w:type="textWrapping"/>
            </w:r>
            <w:r>
              <w:rPr>
                <w:rFonts w:hint="eastAsia"/>
              </w:rPr>
              <w:t>32A输入，20位输出（4位国标16插孔+16位10A国标插孔）</w:t>
            </w:r>
          </w:p>
        </w:tc>
        <w:tc>
          <w:tcPr>
            <w:tcW w:w="381" w:type="pct"/>
            <w:shd w:val="clear" w:color="auto" w:fill="auto"/>
            <w:vAlign w:val="center"/>
          </w:tcPr>
          <w:p>
            <w:pPr>
              <w:jc w:val="center"/>
            </w:pPr>
            <w:r>
              <w:rPr>
                <w:rFonts w:hint="eastAsia"/>
              </w:rPr>
              <w:t>1</w:t>
            </w:r>
          </w:p>
        </w:tc>
        <w:tc>
          <w:tcPr>
            <w:tcW w:w="694" w:type="pct"/>
            <w:vAlign w:val="center"/>
          </w:tcPr>
          <w:p>
            <w:pPr>
              <w:jc w:val="center"/>
            </w:pPr>
            <w:r>
              <w:rPr>
                <w:rFonts w:hint="eastAsia" w:cs="等线"/>
                <w:kern w:val="0"/>
              </w:rPr>
              <w:t>9</w:t>
            </w:r>
            <w:r>
              <w:rPr>
                <w:rFonts w:cs="等线"/>
                <w:kern w:val="0"/>
              </w:rPr>
              <w:t>87</w:t>
            </w:r>
          </w:p>
        </w:tc>
        <w:tc>
          <w:tcPr>
            <w:tcW w:w="693" w:type="pct"/>
          </w:tcPr>
          <w:p>
            <w:pPr>
              <w:jc w:val="center"/>
              <w:rPr>
                <w:rFonts w:cs="等线"/>
                <w:kern w:val="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31" w:type="pct"/>
            <w:shd w:val="clear" w:color="auto" w:fill="auto"/>
            <w:vAlign w:val="center"/>
          </w:tcPr>
          <w:p>
            <w:pPr>
              <w:jc w:val="center"/>
              <w:rPr>
                <w:rFonts w:hint="eastAsia" w:eastAsia="宋体"/>
                <w:lang w:val="en-US" w:eastAsia="zh-CN"/>
              </w:rPr>
            </w:pPr>
            <w:r>
              <w:rPr>
                <w:rFonts w:hint="eastAsia"/>
                <w:lang w:val="en-US" w:eastAsia="zh-CN"/>
              </w:rPr>
              <w:t>合计</w:t>
            </w:r>
          </w:p>
        </w:tc>
        <w:tc>
          <w:tcPr>
            <w:tcW w:w="4568" w:type="pct"/>
            <w:gridSpan w:val="6"/>
            <w:vAlign w:val="center"/>
          </w:tcPr>
          <w:p>
            <w:pPr>
              <w:jc w:val="center"/>
              <w:rPr>
                <w:rFonts w:cs="等线"/>
                <w:kern w:val="0"/>
              </w:rPr>
            </w:pPr>
          </w:p>
        </w:tc>
      </w:tr>
    </w:tbl>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400" w:lineRule="exact"/>
        <w:jc w:val="center"/>
        <w:rPr>
          <w:rFonts w:ascii="宋体" w:hAnsi="宋体"/>
          <w:b/>
          <w:sz w:val="32"/>
          <w:szCs w:val="32"/>
        </w:rPr>
      </w:pPr>
      <w:r>
        <w:rPr>
          <w:rFonts w:ascii="宋体" w:hAnsi="宋体"/>
          <w:b/>
          <w:sz w:val="32"/>
          <w:szCs w:val="32"/>
        </w:rPr>
        <w:t>二、授权委托书</w:t>
      </w:r>
    </w:p>
    <w:p>
      <w:pPr>
        <w:spacing w:line="480" w:lineRule="exact"/>
        <w:jc w:val="center"/>
        <w:rPr>
          <w:rFonts w:ascii="宋体" w:hAnsi="宋体"/>
          <w:sz w:val="24"/>
          <w:szCs w:val="24"/>
        </w:rPr>
      </w:pPr>
      <w:r>
        <w:rPr>
          <w:rFonts w:ascii="宋体" w:hAnsi="宋体"/>
          <w:sz w:val="24"/>
          <w:szCs w:val="24"/>
        </w:rPr>
        <w:t>（适用于有委托代理人的情况）</w:t>
      </w:r>
    </w:p>
    <w:p>
      <w:pPr>
        <w:spacing w:line="480" w:lineRule="exact"/>
        <w:jc w:val="left"/>
        <w:rPr>
          <w:rFonts w:ascii="宋体" w:hAnsi="宋体"/>
          <w:sz w:val="24"/>
          <w:szCs w:val="24"/>
        </w:rPr>
      </w:pPr>
    </w:p>
    <w:p>
      <w:pPr>
        <w:spacing w:line="480" w:lineRule="exact"/>
        <w:ind w:firstLine="480" w:firstLineChars="200"/>
        <w:jc w:val="left"/>
        <w:rPr>
          <w:rFonts w:ascii="宋体" w:hAnsi="宋体"/>
          <w:sz w:val="24"/>
          <w:szCs w:val="24"/>
          <w:u w:val="single"/>
        </w:rPr>
      </w:pPr>
      <w:r>
        <w:rPr>
          <w:rFonts w:ascii="宋体" w:hAnsi="宋体"/>
          <w:sz w:val="24"/>
          <w:szCs w:val="24"/>
        </w:rPr>
        <w:t>本人</w:t>
      </w:r>
      <w:r>
        <w:rPr>
          <w:rFonts w:hint="eastAsia" w:ascii="宋体" w:hAnsi="宋体"/>
          <w:sz w:val="24"/>
          <w:szCs w:val="24"/>
          <w:u w:val="single"/>
        </w:rPr>
        <w:t xml:space="preserve">        </w:t>
      </w:r>
      <w:r>
        <w:rPr>
          <w:rFonts w:ascii="宋体" w:hAnsi="宋体"/>
          <w:sz w:val="24"/>
          <w:szCs w:val="24"/>
        </w:rPr>
        <w:t>系</w:t>
      </w:r>
      <w:r>
        <w:rPr>
          <w:rFonts w:hint="eastAsia" w:ascii="宋体" w:hAnsi="宋体"/>
          <w:sz w:val="24"/>
          <w:szCs w:val="24"/>
          <w:u w:val="single"/>
        </w:rPr>
        <w:t xml:space="preserve">        </w:t>
      </w:r>
      <w:r>
        <w:rPr>
          <w:rFonts w:ascii="宋体" w:hAnsi="宋体"/>
          <w:sz w:val="24"/>
          <w:szCs w:val="24"/>
        </w:rPr>
        <w:t>的法定代表人（主要负责人），现委托</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为我方代理人。代理人根据授权</w:t>
      </w:r>
      <w:r>
        <w:rPr>
          <w:rFonts w:hint="eastAsia" w:ascii="宋体" w:hAnsi="宋体"/>
          <w:sz w:val="24"/>
          <w:szCs w:val="24"/>
        </w:rPr>
        <w:t>，</w:t>
      </w:r>
      <w:r>
        <w:rPr>
          <w:rFonts w:ascii="宋体" w:hAnsi="宋体"/>
          <w:sz w:val="24"/>
          <w:szCs w:val="24"/>
        </w:rPr>
        <w:t>以我方名义签署、澄清确认、递交、撤回、修改</w:t>
      </w:r>
      <w:r>
        <w:rPr>
          <w:rFonts w:hint="eastAsia" w:ascii="宋体" w:hAnsi="宋体"/>
          <w:sz w:val="24"/>
          <w:szCs w:val="24"/>
        </w:rPr>
        <w:t>比选</w:t>
      </w:r>
      <w:r>
        <w:rPr>
          <w:rFonts w:ascii="宋体" w:hAnsi="宋体"/>
          <w:sz w:val="24"/>
          <w:szCs w:val="24"/>
        </w:rPr>
        <w:t>项目响应文件、签订合同和处理有关事宜，其法律后果由我方承担。</w:t>
      </w:r>
    </w:p>
    <w:p>
      <w:pPr>
        <w:spacing w:line="480" w:lineRule="exact"/>
        <w:jc w:val="left"/>
        <w:rPr>
          <w:rFonts w:ascii="宋体" w:hAnsi="宋体"/>
          <w:sz w:val="24"/>
          <w:szCs w:val="24"/>
        </w:rPr>
      </w:pPr>
      <w:r>
        <w:rPr>
          <w:rFonts w:ascii="宋体" w:hAnsi="宋体"/>
          <w:sz w:val="24"/>
          <w:szCs w:val="24"/>
        </w:rPr>
        <w:t>委托期限：自本委托书签署之日起至</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比选</w:t>
      </w:r>
      <w:r>
        <w:rPr>
          <w:rFonts w:ascii="宋体" w:hAnsi="宋体"/>
          <w:sz w:val="24"/>
          <w:szCs w:val="24"/>
        </w:rPr>
        <w:t>项目签订采购合同之日止。</w:t>
      </w:r>
    </w:p>
    <w:p>
      <w:pPr>
        <w:spacing w:line="480" w:lineRule="exact"/>
        <w:ind w:firstLine="480" w:firstLineChars="200"/>
        <w:jc w:val="left"/>
        <w:rPr>
          <w:rFonts w:ascii="宋体" w:hAnsi="宋体"/>
          <w:sz w:val="24"/>
          <w:szCs w:val="24"/>
        </w:rPr>
      </w:pPr>
      <w:r>
        <w:rPr>
          <w:rFonts w:ascii="宋体" w:hAnsi="宋体"/>
          <w:sz w:val="24"/>
          <w:szCs w:val="24"/>
        </w:rPr>
        <w:t>代理人无转委托权。</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ascii="宋体" w:hAnsi="宋体"/>
          <w:sz w:val="24"/>
          <w:szCs w:val="24"/>
        </w:rPr>
        <w:t>附：法定代表人（主要负责人）身份证复印件及委托代理人身份证复印件。</w:t>
      </w: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ind w:firstLine="3000" w:firstLineChars="1250"/>
        <w:jc w:val="left"/>
        <w:rPr>
          <w:rFonts w:ascii="宋体" w:hAnsi="宋体"/>
          <w:sz w:val="24"/>
          <w:szCs w:val="24"/>
        </w:rPr>
      </w:pPr>
      <w:r>
        <w:rPr>
          <w:rFonts w:ascii="宋体" w:hAnsi="宋体"/>
          <w:sz w:val="24"/>
          <w:szCs w:val="24"/>
        </w:rPr>
        <w:t>供应商：</w:t>
      </w:r>
      <w:r>
        <w:rPr>
          <w:rFonts w:hint="eastAsia" w:ascii="宋体" w:hAnsi="宋体"/>
          <w:sz w:val="24"/>
          <w:szCs w:val="24"/>
          <w:u w:val="single"/>
        </w:rPr>
        <w:t xml:space="preserve">                             </w:t>
      </w:r>
      <w:r>
        <w:rPr>
          <w:rFonts w:ascii="宋体" w:hAnsi="宋体"/>
          <w:sz w:val="24"/>
          <w:szCs w:val="24"/>
        </w:rPr>
        <w:t>（盖单位章）</w:t>
      </w:r>
    </w:p>
    <w:p>
      <w:pPr>
        <w:spacing w:line="480" w:lineRule="exact"/>
        <w:ind w:firstLine="3000" w:firstLineChars="1250"/>
        <w:jc w:val="left"/>
        <w:rPr>
          <w:rFonts w:ascii="宋体" w:hAnsi="宋体"/>
          <w:sz w:val="24"/>
          <w:szCs w:val="24"/>
        </w:rPr>
      </w:pPr>
      <w:r>
        <w:rPr>
          <w:rFonts w:ascii="宋体" w:hAnsi="宋体"/>
          <w:sz w:val="24"/>
          <w:szCs w:val="24"/>
        </w:rPr>
        <w:t>法定代表人（主要负责人）：</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3000" w:firstLineChars="1250"/>
        <w:jc w:val="left"/>
        <w:rPr>
          <w:rFonts w:ascii="宋体" w:hAnsi="宋体"/>
          <w:sz w:val="24"/>
          <w:szCs w:val="24"/>
        </w:rPr>
      </w:pPr>
      <w:r>
        <w:rPr>
          <w:rFonts w:ascii="宋体" w:hAnsi="宋体"/>
          <w:sz w:val="24"/>
          <w:szCs w:val="24"/>
        </w:rPr>
        <w:t>委托代理人：</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7440" w:firstLineChars="3100"/>
        <w:jc w:val="left"/>
        <w:rPr>
          <w:rFonts w:ascii="宋体" w:hAnsi="宋体"/>
          <w:sz w:val="24"/>
          <w:szCs w:val="24"/>
        </w:rPr>
      </w:pPr>
    </w:p>
    <w:p>
      <w:pPr>
        <w:spacing w:line="480" w:lineRule="exact"/>
        <w:ind w:firstLine="7440" w:firstLineChars="3100"/>
        <w:jc w:val="left"/>
        <w:rPr>
          <w:rFonts w:ascii="宋体" w:hAnsi="宋体"/>
          <w:sz w:val="24"/>
          <w:szCs w:val="24"/>
        </w:rPr>
      </w:pPr>
      <w:r>
        <w:rPr>
          <w:rFonts w:hint="eastAsia" w:ascii="宋体" w:hAnsi="宋体"/>
          <w:sz w:val="24"/>
          <w:szCs w:val="24"/>
        </w:rPr>
        <w:t xml:space="preserve">年    月    </w:t>
      </w:r>
      <w:r>
        <w:rPr>
          <w:rFonts w:ascii="宋体" w:hAnsi="宋体"/>
          <w:sz w:val="24"/>
          <w:szCs w:val="24"/>
        </w:rPr>
        <w:t>日</w:t>
      </w:r>
    </w:p>
    <w:p/>
    <w:p/>
    <w:p/>
    <w:p/>
    <w:p/>
    <w:p/>
    <w:p/>
    <w:p/>
    <w:p/>
    <w:p/>
    <w:p/>
    <w:p/>
    <w:p/>
    <w:p/>
    <w:p>
      <w:pPr>
        <w:jc w:val="center"/>
        <w:rPr>
          <w:rFonts w:ascii="宋体" w:hAnsi="宋体"/>
          <w:b/>
          <w:sz w:val="32"/>
          <w:szCs w:val="32"/>
        </w:rPr>
      </w:pPr>
      <w:r>
        <w:rPr>
          <w:rFonts w:hint="eastAsia" w:ascii="宋体" w:hAnsi="宋体"/>
          <w:b/>
          <w:sz w:val="32"/>
          <w:szCs w:val="32"/>
        </w:rPr>
        <w:t>三、法定代表人（主要负责人）身份证明</w:t>
      </w:r>
    </w:p>
    <w:p>
      <w:pPr>
        <w:spacing w:line="480" w:lineRule="exact"/>
        <w:ind w:left="765"/>
        <w:rPr>
          <w:rFonts w:ascii="宋体" w:hAnsi="宋体"/>
          <w:sz w:val="24"/>
          <w:szCs w:val="24"/>
        </w:rPr>
      </w:pPr>
    </w:p>
    <w:p>
      <w:pPr>
        <w:tabs>
          <w:tab w:val="left" w:pos="568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响应人名称：</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5715"/>
        </w:tabs>
        <w:autoSpaceDE w:val="0"/>
        <w:autoSpaceDN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单位性质：</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571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地址：</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2520"/>
          <w:tab w:val="left" w:pos="312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成立时间：</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spacing w:val="-1"/>
          <w:kern w:val="0"/>
          <w:sz w:val="24"/>
          <w:szCs w:val="24"/>
        </w:rPr>
        <w:t>年</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u w:val="single"/>
        </w:rPr>
        <w:t xml:space="preserve"> </w:t>
      </w:r>
      <w:r>
        <w:rPr>
          <w:rFonts w:hint="eastAsia" w:ascii="宋体" w:hAnsi="宋体"/>
          <w:kern w:val="0"/>
          <w:sz w:val="24"/>
          <w:szCs w:val="24"/>
        </w:rPr>
        <w:t xml:space="preserve"> </w:t>
      </w:r>
      <w:r>
        <w:rPr>
          <w:rFonts w:hint="eastAsia" w:ascii="宋体" w:hAnsi="宋体" w:cs="MingLiU"/>
          <w:spacing w:val="-1"/>
          <w:kern w:val="0"/>
          <w:sz w:val="24"/>
          <w:szCs w:val="24"/>
        </w:rPr>
        <w:t>月</w:t>
      </w:r>
      <w:r>
        <w:rPr>
          <w:rFonts w:hint="eastAsia" w:ascii="宋体" w:hAnsi="宋体" w:cs="MingLiU"/>
          <w:w w:val="200"/>
          <w:kern w:val="0"/>
          <w:sz w:val="24"/>
          <w:szCs w:val="24"/>
          <w:u w:val="single"/>
        </w:rPr>
        <w:t xml:space="preserve">    </w:t>
      </w:r>
      <w:r>
        <w:rPr>
          <w:rFonts w:hint="eastAsia" w:ascii="宋体" w:hAnsi="宋体"/>
          <w:kern w:val="0"/>
          <w:sz w:val="24"/>
          <w:szCs w:val="24"/>
          <w:u w:val="single"/>
        </w:rPr>
        <w:t xml:space="preserve">  </w:t>
      </w:r>
      <w:r>
        <w:rPr>
          <w:rFonts w:hint="eastAsia" w:ascii="宋体" w:hAnsi="宋体" w:cs="MingLiU"/>
          <w:kern w:val="0"/>
          <w:sz w:val="24"/>
          <w:szCs w:val="24"/>
        </w:rPr>
        <w:t>日</w:t>
      </w:r>
    </w:p>
    <w:p>
      <w:pPr>
        <w:tabs>
          <w:tab w:val="left" w:pos="583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经营期限：</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3735"/>
          <w:tab w:val="left" w:pos="4840"/>
          <w:tab w:val="left" w:pos="534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姓名：</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kern w:val="0"/>
          <w:sz w:val="24"/>
          <w:szCs w:val="24"/>
        </w:rPr>
        <w:t>性别</w:t>
      </w:r>
      <w:r>
        <w:rPr>
          <w:rFonts w:hint="eastAsia" w:ascii="宋体" w:hAnsi="宋体" w:cs="MingLiU"/>
          <w:spacing w:val="-1"/>
          <w:kern w:val="0"/>
          <w:sz w:val="24"/>
          <w:szCs w:val="24"/>
        </w:rPr>
        <w:t>：</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spacing w:val="-1"/>
          <w:kern w:val="0"/>
          <w:sz w:val="24"/>
          <w:szCs w:val="24"/>
        </w:rPr>
        <w:t>年</w:t>
      </w:r>
      <w:r>
        <w:rPr>
          <w:rFonts w:hint="eastAsia" w:ascii="宋体" w:hAnsi="宋体" w:cs="MingLiU"/>
          <w:kern w:val="0"/>
          <w:sz w:val="24"/>
          <w:szCs w:val="24"/>
        </w:rPr>
        <w:t>龄：</w:t>
      </w:r>
      <w:r>
        <w:rPr>
          <w:rFonts w:hint="eastAsia" w:ascii="宋体" w:hAnsi="宋体" w:cs="MingLiU"/>
          <w:w w:val="200"/>
          <w:kern w:val="0"/>
          <w:sz w:val="24"/>
          <w:szCs w:val="24"/>
          <w:u w:val="single"/>
        </w:rPr>
        <w:t xml:space="preserve">   </w:t>
      </w:r>
      <w:r>
        <w:rPr>
          <w:rFonts w:hint="eastAsia" w:ascii="宋体" w:hAnsi="宋体" w:cs="MingLiU"/>
          <w:kern w:val="0"/>
          <w:sz w:val="24"/>
          <w:szCs w:val="24"/>
        </w:rPr>
        <w:t>职务：</w:t>
      </w:r>
      <w:r>
        <w:rPr>
          <w:rFonts w:hint="eastAsia" w:ascii="宋体" w:hAnsi="宋体" w:cs="MingLiU"/>
          <w:w w:val="200"/>
          <w:kern w:val="0"/>
          <w:sz w:val="24"/>
          <w:szCs w:val="24"/>
          <w:u w:val="single"/>
        </w:rPr>
        <w:t xml:space="preserve">     </w:t>
      </w:r>
    </w:p>
    <w:p>
      <w:pPr>
        <w:tabs>
          <w:tab w:val="left" w:pos="336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系</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cs="MingLiU"/>
          <w:kern w:val="0"/>
          <w:sz w:val="24"/>
          <w:szCs w:val="24"/>
        </w:rPr>
        <w:t>的法定代表人（主要负责人）。</w:t>
      </w:r>
    </w:p>
    <w:p>
      <w:pPr>
        <w:autoSpaceDE w:val="0"/>
        <w:autoSpaceDN w:val="0"/>
        <w:adjustRightInd w:val="0"/>
        <w:snapToGrid w:val="0"/>
        <w:spacing w:line="480" w:lineRule="exact"/>
        <w:jc w:val="left"/>
        <w:rPr>
          <w:rFonts w:ascii="宋体" w:hAnsi="宋体" w:cs="MingLiU"/>
          <w:kern w:val="0"/>
          <w:sz w:val="24"/>
          <w:szCs w:val="24"/>
        </w:rPr>
      </w:pPr>
    </w:p>
    <w:p>
      <w:pPr>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特此证明。</w:t>
      </w:r>
    </w:p>
    <w:p>
      <w:pPr>
        <w:autoSpaceDE w:val="0"/>
        <w:autoSpaceDN w:val="0"/>
        <w:adjustRightInd w:val="0"/>
        <w:snapToGrid w:val="0"/>
        <w:spacing w:line="480" w:lineRule="exact"/>
        <w:jc w:val="left"/>
        <w:rPr>
          <w:rFonts w:ascii="宋体" w:hAnsi="宋体" w:cs="MingLiU"/>
          <w:kern w:val="0"/>
          <w:sz w:val="24"/>
          <w:szCs w:val="24"/>
        </w:rPr>
      </w:pPr>
    </w:p>
    <w:p>
      <w:pPr>
        <w:autoSpaceDE w:val="0"/>
        <w:autoSpaceDN w:val="0"/>
        <w:adjustRightInd w:val="0"/>
        <w:snapToGrid w:val="0"/>
        <w:spacing w:line="480" w:lineRule="exact"/>
        <w:jc w:val="left"/>
        <w:rPr>
          <w:rFonts w:ascii="宋体" w:hAnsi="宋体" w:cs="MingLiU"/>
          <w:kern w:val="0"/>
          <w:sz w:val="24"/>
          <w:szCs w:val="24"/>
        </w:rPr>
      </w:pPr>
    </w:p>
    <w:p>
      <w:pPr>
        <w:tabs>
          <w:tab w:val="left" w:pos="5460"/>
        </w:tabs>
        <w:autoSpaceDE w:val="0"/>
        <w:autoSpaceDN w:val="0"/>
        <w:adjustRightInd w:val="0"/>
        <w:snapToGrid w:val="0"/>
        <w:spacing w:line="480" w:lineRule="exact"/>
        <w:ind w:firstLine="2640" w:firstLineChars="1100"/>
        <w:jc w:val="left"/>
        <w:rPr>
          <w:rFonts w:ascii="宋体" w:hAnsi="宋体" w:cs="MingLiU"/>
          <w:kern w:val="0"/>
          <w:sz w:val="24"/>
          <w:szCs w:val="24"/>
        </w:rPr>
      </w:pPr>
      <w:r>
        <w:rPr>
          <w:rFonts w:hint="eastAsia" w:ascii="宋体" w:hAnsi="宋体" w:cs="MingLiU"/>
          <w:kern w:val="0"/>
          <w:sz w:val="24"/>
          <w:szCs w:val="24"/>
        </w:rPr>
        <w:t>响应人：</w:t>
      </w:r>
      <w:r>
        <w:rPr>
          <w:rFonts w:hint="eastAsia" w:ascii="宋体" w:hAnsi="宋体" w:cs="MingLiU"/>
          <w:w w:val="200"/>
          <w:kern w:val="0"/>
          <w:sz w:val="24"/>
          <w:szCs w:val="24"/>
          <w:u w:val="single"/>
        </w:rPr>
        <w:t xml:space="preserve">                </w:t>
      </w:r>
      <w:r>
        <w:rPr>
          <w:rFonts w:hint="eastAsia" w:ascii="宋体" w:hAnsi="宋体" w:cs="MingLiU"/>
          <w:spacing w:val="-1"/>
          <w:kern w:val="0"/>
          <w:sz w:val="24"/>
          <w:szCs w:val="24"/>
        </w:rPr>
        <w:t>（</w:t>
      </w:r>
      <w:r>
        <w:rPr>
          <w:rFonts w:hint="eastAsia" w:ascii="宋体" w:hAnsi="宋体" w:cs="MingLiU"/>
          <w:kern w:val="0"/>
          <w:sz w:val="24"/>
          <w:szCs w:val="24"/>
        </w:rPr>
        <w:t>盖单位公章）</w:t>
      </w:r>
    </w:p>
    <w:p>
      <w:pPr>
        <w:tabs>
          <w:tab w:val="left" w:pos="4935"/>
          <w:tab w:val="left" w:pos="5460"/>
          <w:tab w:val="left" w:pos="6400"/>
        </w:tabs>
        <w:autoSpaceDE w:val="0"/>
        <w:autoSpaceDN w:val="0"/>
        <w:adjustRightInd w:val="0"/>
        <w:snapToGrid w:val="0"/>
        <w:spacing w:line="480" w:lineRule="exact"/>
        <w:ind w:firstLine="4320" w:firstLineChars="900"/>
        <w:jc w:val="left"/>
        <w:rPr>
          <w:rFonts w:ascii="宋体" w:hAnsi="宋体" w:cs="MingLiU"/>
          <w:kern w:val="0"/>
          <w:sz w:val="24"/>
          <w:szCs w:val="24"/>
        </w:rPr>
      </w:pP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cs="MingLiU"/>
          <w:spacing w:val="-1"/>
          <w:kern w:val="0"/>
          <w:sz w:val="24"/>
          <w:szCs w:val="24"/>
        </w:rPr>
        <w:t>年</w:t>
      </w:r>
      <w:r>
        <w:rPr>
          <w:rFonts w:hint="eastAsia" w:ascii="宋体" w:hAnsi="宋体" w:cs="MingLiU"/>
          <w:w w:val="200"/>
          <w:kern w:val="0"/>
          <w:sz w:val="24"/>
          <w:szCs w:val="24"/>
          <w:u w:val="single"/>
        </w:rPr>
        <w:t xml:space="preserve">   </w:t>
      </w:r>
      <w:r>
        <w:rPr>
          <w:rFonts w:hint="eastAsia" w:ascii="宋体" w:hAnsi="宋体" w:cs="MingLiU"/>
          <w:kern w:val="0"/>
          <w:sz w:val="24"/>
          <w:szCs w:val="24"/>
        </w:rPr>
        <w:t>月</w:t>
      </w:r>
      <w:r>
        <w:rPr>
          <w:rFonts w:hint="eastAsia" w:ascii="宋体" w:hAnsi="宋体" w:cs="MingLiU"/>
          <w:w w:val="200"/>
          <w:kern w:val="0"/>
          <w:sz w:val="24"/>
          <w:szCs w:val="24"/>
          <w:u w:val="single"/>
        </w:rPr>
        <w:t xml:space="preserve">   </w:t>
      </w:r>
      <w:r>
        <w:rPr>
          <w:rFonts w:hint="eastAsia" w:ascii="宋体" w:hAnsi="宋体" w:cs="MingLiU"/>
          <w:kern w:val="0"/>
          <w:sz w:val="24"/>
          <w:szCs w:val="24"/>
        </w:rPr>
        <w:t>日</w:t>
      </w:r>
    </w:p>
    <w:p>
      <w:pPr>
        <w:autoSpaceDE w:val="0"/>
        <w:autoSpaceDN w:val="0"/>
        <w:adjustRightInd w:val="0"/>
        <w:snapToGrid w:val="0"/>
        <w:spacing w:line="480" w:lineRule="exact"/>
        <w:jc w:val="left"/>
        <w:rPr>
          <w:rFonts w:ascii="宋体" w:hAnsi="宋体"/>
          <w:kern w:val="0"/>
          <w:sz w:val="24"/>
          <w:szCs w:val="24"/>
        </w:rPr>
      </w:pPr>
    </w:p>
    <w:tbl>
      <w:tblPr>
        <w:tblStyle w:val="16"/>
        <w:tblpPr w:leftFromText="180" w:rightFromText="180" w:vertAnchor="text" w:horzAnchor="margin" w:tblpY="73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hAnsi="宋体"/>
                <w:b/>
              </w:rPr>
            </w:pPr>
          </w:p>
          <w:p>
            <w:pPr>
              <w:spacing w:line="520" w:lineRule="exact"/>
              <w:ind w:firstLine="211" w:firstLineChars="100"/>
              <w:rPr>
                <w:rFonts w:ascii="宋体" w:hAnsi="宋体"/>
                <w:b/>
              </w:rPr>
            </w:pPr>
            <w:r>
              <w:rPr>
                <w:rFonts w:hint="eastAsia" w:ascii="宋体" w:hAnsi="宋体"/>
                <w:b/>
              </w:rPr>
              <w:t>法定代表人（主要负责人）身份证正面复印件</w:t>
            </w:r>
          </w:p>
          <w:p>
            <w:pPr>
              <w:spacing w:line="520" w:lineRule="exact"/>
              <w:rPr>
                <w:rFonts w:ascii="宋体" w:hAnsi="宋体"/>
                <w:b/>
              </w:rPr>
            </w:pPr>
          </w:p>
        </w:tc>
      </w:tr>
    </w:tbl>
    <w:p>
      <w:pPr>
        <w:rPr>
          <w:rFonts w:ascii="宋体" w:hAnsi="宋体"/>
          <w:vanish/>
        </w:rPr>
      </w:pPr>
    </w:p>
    <w:tbl>
      <w:tblPr>
        <w:tblStyle w:val="16"/>
        <w:tblpPr w:leftFromText="180" w:rightFromText="180" w:vertAnchor="text" w:horzAnchor="page" w:tblpX="6787" w:tblpY="70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hAnsi="宋体"/>
                <w:b/>
              </w:rPr>
            </w:pPr>
          </w:p>
          <w:p>
            <w:pPr>
              <w:spacing w:line="520" w:lineRule="exact"/>
              <w:ind w:firstLine="211" w:firstLineChars="100"/>
              <w:rPr>
                <w:rFonts w:ascii="宋体" w:hAnsi="宋体"/>
                <w:b/>
              </w:rPr>
            </w:pPr>
            <w:r>
              <w:rPr>
                <w:rFonts w:hint="eastAsia" w:ascii="宋体" w:hAnsi="宋体"/>
                <w:b/>
              </w:rPr>
              <w:t>法定代表人（主要负责人）身份证背面复印件</w:t>
            </w:r>
          </w:p>
          <w:p>
            <w:pPr>
              <w:spacing w:line="520" w:lineRule="exact"/>
              <w:rPr>
                <w:rFonts w:ascii="宋体" w:hAnsi="宋体"/>
                <w:b/>
              </w:rPr>
            </w:pPr>
          </w:p>
        </w:tc>
      </w:tr>
    </w:tbl>
    <w:p>
      <w:pPr>
        <w:tabs>
          <w:tab w:val="left" w:pos="1680"/>
          <w:tab w:val="left" w:pos="4215"/>
          <w:tab w:val="left" w:pos="4305"/>
          <w:tab w:val="left" w:pos="8000"/>
        </w:tabs>
        <w:autoSpaceDE w:val="0"/>
        <w:autoSpaceDN w:val="0"/>
        <w:adjustRightInd w:val="0"/>
        <w:snapToGrid w:val="0"/>
        <w:spacing w:line="360" w:lineRule="auto"/>
        <w:rPr>
          <w:rFonts w:ascii="宋体" w:hAnsi="宋体" w:cs="MingLiU"/>
          <w:b/>
          <w:kern w:val="0"/>
        </w:rPr>
      </w:pPr>
    </w:p>
    <w:p/>
    <w:p/>
    <w:p/>
    <w:p/>
    <w:p/>
    <w:p/>
    <w:p/>
    <w:p/>
    <w:p/>
    <w:p/>
    <w:p/>
    <w:p/>
    <w:p/>
    <w:p/>
    <w:p/>
    <w:p/>
    <w:p/>
    <w:p/>
    <w:p>
      <w:pPr>
        <w:tabs>
          <w:tab w:val="left" w:pos="874"/>
        </w:tabs>
        <w:jc w:val="left"/>
      </w:pPr>
      <w:r>
        <w:rPr>
          <w:rFonts w:hint="eastAsia"/>
        </w:rPr>
        <w:tab/>
      </w:r>
    </w:p>
    <w:p>
      <w:pPr>
        <w:spacing w:line="273" w:lineRule="auto"/>
        <w:jc w:val="center"/>
        <w:rPr>
          <w:rFonts w:ascii="宋体" w:hAnsi="宋体"/>
          <w:b/>
          <w:sz w:val="32"/>
          <w:szCs w:val="32"/>
        </w:rPr>
      </w:pPr>
      <w:r>
        <w:rPr>
          <w:rFonts w:hint="eastAsia" w:ascii="宋体" w:hAnsi="宋体" w:cs="宋体"/>
          <w:b/>
          <w:sz w:val="32"/>
          <w:szCs w:val="32"/>
        </w:rPr>
        <w:t>四、书面声明</w:t>
      </w:r>
    </w:p>
    <w:p>
      <w:pPr>
        <w:spacing w:line="420" w:lineRule="exact"/>
        <w:jc w:val="left"/>
        <w:rPr>
          <w:rFonts w:ascii="宋体" w:hAnsi="宋体"/>
          <w:sz w:val="24"/>
          <w:szCs w:val="24"/>
          <w:u w:val="single"/>
        </w:rPr>
      </w:pPr>
    </w:p>
    <w:p>
      <w:pPr>
        <w:spacing w:line="420" w:lineRule="exact"/>
        <w:jc w:val="left"/>
        <w:rPr>
          <w:rFonts w:ascii="宋体" w:hAnsi="宋体"/>
          <w:sz w:val="24"/>
          <w:szCs w:val="24"/>
        </w:rPr>
      </w:pPr>
      <w:r>
        <w:rPr>
          <w:rFonts w:hint="eastAsia" w:ascii="宋体" w:hAnsi="宋体"/>
          <w:sz w:val="24"/>
          <w:szCs w:val="24"/>
          <w:u w:val="single"/>
        </w:rPr>
        <w:t xml:space="preserve">                          </w:t>
      </w:r>
      <w:r>
        <w:rPr>
          <w:rFonts w:hint="eastAsia" w:ascii="宋体" w:hAnsi="宋体" w:cs="宋体"/>
          <w:sz w:val="24"/>
          <w:szCs w:val="24"/>
        </w:rPr>
        <w:t>比选人名称：</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我方已仔细研究了</w:t>
      </w:r>
      <w:r>
        <w:rPr>
          <w:rFonts w:hint="eastAsia" w:ascii="宋体" w:hAnsi="宋体"/>
          <w:sz w:val="24"/>
          <w:szCs w:val="24"/>
          <w:u w:val="single"/>
        </w:rPr>
        <w:t xml:space="preserve">                         </w:t>
      </w:r>
      <w:r>
        <w:rPr>
          <w:rFonts w:hint="eastAsia" w:ascii="宋体" w:hAnsi="宋体" w:cs="宋体"/>
          <w:sz w:val="24"/>
          <w:szCs w:val="24"/>
        </w:rPr>
        <w:t>（项目名称）比选文件的全部内容，我方承诺在参加采购活动前三年内（指2021年1月1日至今），在经营活动中没有重大违法记录， 未列入失信被执行人、重大税收违法案件当事人名单、无政府采购严重违法失信行为记录，且在人员、设备、资金、技术等方面具有相应的能力。若承诺与实事不符合，愿意承担相应责任。</w:t>
      </w:r>
    </w:p>
    <w:p>
      <w:pPr>
        <w:pStyle w:val="15"/>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5"/>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5"/>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5"/>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autoSpaceDE w:val="0"/>
        <w:autoSpaceDN w:val="0"/>
        <w:adjustRightInd w:val="0"/>
        <w:snapToGrid w:val="0"/>
        <w:spacing w:line="480" w:lineRule="exact"/>
        <w:ind w:right="480" w:firstLine="5460" w:firstLineChars="2275"/>
        <w:rPr>
          <w:rFonts w:ascii="宋体" w:hAnsi="宋体" w:cs="MingLiU"/>
          <w:kern w:val="0"/>
          <w:sz w:val="24"/>
          <w:szCs w:val="24"/>
        </w:rPr>
      </w:pPr>
      <w:r>
        <w:rPr>
          <w:rFonts w:hint="eastAsia" w:ascii="宋体" w:hAnsi="宋体" w:cs="宋体"/>
          <w:kern w:val="0"/>
          <w:sz w:val="24"/>
          <w:szCs w:val="24"/>
        </w:rPr>
        <w:t>响应人：</w:t>
      </w:r>
      <w:r>
        <w:rPr>
          <w:rFonts w:hint="eastAsia" w:ascii="宋体" w:hAnsi="宋体" w:cs="MingLiU"/>
          <w:kern w:val="0"/>
          <w:sz w:val="24"/>
          <w:szCs w:val="24"/>
          <w:u w:val="single"/>
        </w:rPr>
        <w:t xml:space="preserve">         </w:t>
      </w:r>
      <w:r>
        <w:rPr>
          <w:rFonts w:hint="eastAsia" w:ascii="宋体" w:hAnsi="宋体"/>
          <w:kern w:val="0"/>
          <w:sz w:val="24"/>
          <w:szCs w:val="24"/>
          <w:u w:val="single"/>
        </w:rPr>
        <w:tab/>
      </w:r>
      <w:r>
        <w:rPr>
          <w:rFonts w:hint="eastAsia" w:ascii="宋体" w:hAnsi="宋体" w:cs="宋体"/>
          <w:spacing w:val="-1"/>
          <w:kern w:val="0"/>
          <w:sz w:val="24"/>
          <w:szCs w:val="24"/>
        </w:rPr>
        <w:t>（</w:t>
      </w:r>
      <w:r>
        <w:rPr>
          <w:rFonts w:hint="eastAsia" w:ascii="宋体" w:hAnsi="宋体" w:cs="宋体"/>
          <w:kern w:val="0"/>
          <w:sz w:val="24"/>
          <w:szCs w:val="24"/>
        </w:rPr>
        <w:t>盖单位公章）</w:t>
      </w:r>
    </w:p>
    <w:p>
      <w:pPr>
        <w:autoSpaceDE w:val="0"/>
        <w:autoSpaceDN w:val="0"/>
        <w:adjustRightInd w:val="0"/>
        <w:snapToGrid w:val="0"/>
        <w:spacing w:line="480" w:lineRule="exact"/>
        <w:jc w:val="left"/>
        <w:rPr>
          <w:rFonts w:ascii="宋体" w:hAnsi="宋体" w:cs="MingLiU"/>
          <w:kern w:val="0"/>
          <w:sz w:val="24"/>
          <w:szCs w:val="24"/>
        </w:rPr>
      </w:pPr>
      <w:r>
        <w:rPr>
          <w:rFonts w:hint="eastAsia" w:ascii="宋体" w:hAnsi="宋体" w:cs="MingLiU"/>
          <w:kern w:val="0"/>
          <w:sz w:val="24"/>
          <w:szCs w:val="24"/>
        </w:rPr>
        <w:t xml:space="preserve"> </w:t>
      </w:r>
    </w:p>
    <w:p>
      <w:pPr>
        <w:autoSpaceDE w:val="0"/>
        <w:autoSpaceDN w:val="0"/>
        <w:adjustRightInd w:val="0"/>
        <w:snapToGrid w:val="0"/>
        <w:spacing w:line="480" w:lineRule="exact"/>
        <w:ind w:right="720" w:firstLine="3780"/>
        <w:jc w:val="right"/>
        <w:rPr>
          <w:rFonts w:ascii="宋体" w:hAnsi="宋体" w:cs="MingLiU"/>
          <w:kern w:val="0"/>
          <w:sz w:val="24"/>
          <w:szCs w:val="24"/>
        </w:rPr>
      </w:pPr>
      <w:r>
        <w:rPr>
          <w:rFonts w:hint="eastAsia" w:ascii="宋体" w:hAnsi="宋体" w:cs="MingLiU"/>
          <w:kern w:val="0"/>
          <w:sz w:val="24"/>
          <w:szCs w:val="24"/>
          <w:u w:val="single"/>
        </w:rPr>
        <w:t xml:space="preserve"> </w:t>
      </w:r>
      <w:r>
        <w:rPr>
          <w:rFonts w:hint="eastAsia" w:ascii="宋体" w:hAnsi="宋体"/>
          <w:kern w:val="0"/>
          <w:sz w:val="24"/>
          <w:szCs w:val="24"/>
          <w:u w:val="single"/>
        </w:rPr>
        <w:tab/>
      </w:r>
      <w:r>
        <w:rPr>
          <w:rFonts w:hint="eastAsia" w:ascii="宋体" w:hAnsi="宋体" w:cs="宋体"/>
          <w:spacing w:val="-1"/>
          <w:kern w:val="0"/>
          <w:sz w:val="24"/>
          <w:szCs w:val="24"/>
        </w:rPr>
        <w:t>年</w:t>
      </w:r>
      <w:r>
        <w:rPr>
          <w:rFonts w:hint="eastAsia" w:ascii="宋体" w:hAnsi="宋体" w:cs="MingLiU"/>
          <w:kern w:val="0"/>
          <w:sz w:val="24"/>
          <w:szCs w:val="24"/>
          <w:u w:val="single"/>
        </w:rPr>
        <w:t xml:space="preserve">   </w:t>
      </w:r>
      <w:r>
        <w:rPr>
          <w:rFonts w:hint="eastAsia" w:ascii="宋体" w:hAnsi="宋体" w:cs="宋体"/>
          <w:kern w:val="0"/>
          <w:sz w:val="24"/>
          <w:szCs w:val="24"/>
        </w:rPr>
        <w:t>月</w:t>
      </w:r>
      <w:r>
        <w:rPr>
          <w:rFonts w:hint="eastAsia" w:ascii="宋体" w:hAnsi="宋体" w:cs="MingLiU"/>
          <w:kern w:val="0"/>
          <w:sz w:val="24"/>
          <w:szCs w:val="24"/>
          <w:u w:val="single"/>
        </w:rPr>
        <w:t xml:space="preserve">   </w:t>
      </w:r>
      <w:r>
        <w:rPr>
          <w:rFonts w:hint="eastAsia" w:ascii="宋体" w:hAnsi="宋体" w:cs="宋体"/>
          <w:kern w:val="0"/>
          <w:sz w:val="24"/>
          <w:szCs w:val="24"/>
        </w:rPr>
        <w:t>日</w:t>
      </w:r>
    </w:p>
    <w:p>
      <w:pPr>
        <w:pStyle w:val="15"/>
        <w:widowControl w:val="0"/>
        <w:spacing w:before="0" w:beforeAutospacing="0" w:after="0" w:afterAutospacing="0"/>
        <w:jc w:val="both"/>
        <w:rPr>
          <w:kern w:val="2"/>
          <w:sz w:val="28"/>
          <w:szCs w:val="28"/>
        </w:rPr>
      </w:pPr>
      <w:r>
        <w:rPr>
          <w:rFonts w:hint="eastAsia"/>
          <w:kern w:val="2"/>
          <w:sz w:val="28"/>
          <w:szCs w:val="28"/>
        </w:rPr>
        <w:t xml:space="preserve"> </w:t>
      </w: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b/>
          <w:bCs/>
          <w:sz w:val="28"/>
          <w:szCs w:val="28"/>
        </w:rPr>
      </w:pPr>
      <w:r>
        <w:rPr>
          <w:rFonts w:hint="eastAsia" w:ascii="宋体" w:hAnsi="宋体" w:cs="宋体"/>
          <w:b/>
          <w:bCs/>
          <w:sz w:val="28"/>
          <w:szCs w:val="28"/>
        </w:rPr>
        <w:t>五、营业执照副本。</w:t>
      </w:r>
    </w:p>
    <w:p>
      <w:pPr>
        <w:spacing w:line="276" w:lineRule="auto"/>
        <w:rPr>
          <w:rFonts w:ascii="宋体"/>
          <w:b/>
          <w:bCs/>
          <w:sz w:val="28"/>
          <w:szCs w:val="28"/>
        </w:rPr>
      </w:pPr>
      <w:r>
        <w:rPr>
          <w:rFonts w:hint="eastAsia" w:ascii="宋体"/>
          <w:b/>
          <w:bCs/>
          <w:sz w:val="28"/>
          <w:szCs w:val="28"/>
        </w:rPr>
        <w:t>六、资质材料。</w:t>
      </w:r>
    </w:p>
    <w:p>
      <w:pPr>
        <w:spacing w:line="276" w:lineRule="auto"/>
        <w:rPr>
          <w:rFonts w:ascii="宋体"/>
          <w:b/>
          <w:bCs/>
          <w:sz w:val="28"/>
          <w:szCs w:val="28"/>
        </w:rPr>
      </w:pPr>
      <w:r>
        <w:rPr>
          <w:rFonts w:hint="eastAsia" w:ascii="宋体"/>
          <w:b/>
          <w:bCs/>
          <w:sz w:val="28"/>
          <w:szCs w:val="28"/>
        </w:rPr>
        <w:t>七、其它须说明材料。</w:t>
      </w:r>
    </w:p>
    <w:p>
      <w:pPr>
        <w:spacing w:line="276" w:lineRule="auto"/>
        <w:rPr>
          <w:rFonts w:ascii="宋体"/>
          <w:b/>
          <w:bCs/>
          <w:sz w:val="28"/>
          <w:szCs w:val="28"/>
        </w:rPr>
      </w:pPr>
      <w:r>
        <w:rPr>
          <w:rFonts w:hint="eastAsia" w:ascii="宋体"/>
          <w:b/>
          <w:bCs/>
          <w:sz w:val="28"/>
          <w:szCs w:val="28"/>
        </w:rPr>
        <w:t>格式由响应人自行编制</w:t>
      </w: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400" w:lineRule="exact"/>
        <w:rPr>
          <w:rFonts w:ascii="宋体"/>
          <w:b/>
          <w:bCs/>
        </w:rPr>
      </w:pPr>
    </w:p>
    <w:sectPr>
      <w:footerReference r:id="rId9" w:type="default"/>
      <w:pgSz w:w="11906" w:h="16838"/>
      <w:pgMar w:top="1276" w:right="1274" w:bottom="1135"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2</w:t>
    </w:r>
    <w:r>
      <w:rPr>
        <w:lang w:val="zh-CN"/>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cs="宋体"/>
      </w:rPr>
      <w:t>第</w:t>
    </w:r>
    <w:r>
      <w:fldChar w:fldCharType="begin"/>
    </w:r>
    <w:r>
      <w:instrText xml:space="preserve"> PAGE   \* MERGEFORMAT </w:instrText>
    </w:r>
    <w:r>
      <w:fldChar w:fldCharType="separate"/>
    </w:r>
    <w:r>
      <w:rPr>
        <w:lang w:val="zh-CN"/>
      </w:rPr>
      <w:t>3</w:t>
    </w:r>
    <w:r>
      <w:rPr>
        <w:lang w:val="zh-CN"/>
      </w:rPr>
      <w:fldChar w:fldCharType="end"/>
    </w:r>
    <w:r>
      <w:rPr>
        <w:rFonts w:hint="eastAsia" w:cs="宋体"/>
      </w:rPr>
      <w:t>页，共</w:t>
    </w:r>
    <w:r>
      <w:rPr>
        <w:rFonts w:hint="eastAsia"/>
      </w:rPr>
      <w:t>19</w:t>
    </w:r>
    <w:r>
      <w:rPr>
        <w:rFonts w:hint="eastAsia" w:cs="宋体"/>
      </w:rPr>
      <w:t>页</w: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037EF8"/>
    <w:multiLevelType w:val="singleLevel"/>
    <w:tmpl w:val="7F037EF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ODI2OTQ5YjRkNTVlZWE5MTA1MWU0OTdjNWE2YTYifQ=="/>
  </w:docVars>
  <w:rsids>
    <w:rsidRoot w:val="00B2579D"/>
    <w:rsid w:val="00021991"/>
    <w:rsid w:val="00031FE1"/>
    <w:rsid w:val="000461A9"/>
    <w:rsid w:val="000532AD"/>
    <w:rsid w:val="00066273"/>
    <w:rsid w:val="000766DE"/>
    <w:rsid w:val="00081AB4"/>
    <w:rsid w:val="000835B3"/>
    <w:rsid w:val="00086DFE"/>
    <w:rsid w:val="000875DE"/>
    <w:rsid w:val="000A42DA"/>
    <w:rsid w:val="000C3DC7"/>
    <w:rsid w:val="000D555A"/>
    <w:rsid w:val="000E16A1"/>
    <w:rsid w:val="000E1E53"/>
    <w:rsid w:val="000E1F77"/>
    <w:rsid w:val="000E202C"/>
    <w:rsid w:val="000F339F"/>
    <w:rsid w:val="000F6CEE"/>
    <w:rsid w:val="001406ED"/>
    <w:rsid w:val="001516BF"/>
    <w:rsid w:val="0015368E"/>
    <w:rsid w:val="00161E43"/>
    <w:rsid w:val="0016580F"/>
    <w:rsid w:val="00190A5D"/>
    <w:rsid w:val="001C2C69"/>
    <w:rsid w:val="001C4614"/>
    <w:rsid w:val="001C5AF6"/>
    <w:rsid w:val="00203815"/>
    <w:rsid w:val="0020584A"/>
    <w:rsid w:val="0021445E"/>
    <w:rsid w:val="002432E4"/>
    <w:rsid w:val="0025591F"/>
    <w:rsid w:val="002622A6"/>
    <w:rsid w:val="00267C44"/>
    <w:rsid w:val="00272DEF"/>
    <w:rsid w:val="0028039D"/>
    <w:rsid w:val="002B0C62"/>
    <w:rsid w:val="002B1C08"/>
    <w:rsid w:val="002B42B1"/>
    <w:rsid w:val="002B4DA6"/>
    <w:rsid w:val="002C4EEC"/>
    <w:rsid w:val="002D3D77"/>
    <w:rsid w:val="002E6B48"/>
    <w:rsid w:val="002F57F2"/>
    <w:rsid w:val="00306D9B"/>
    <w:rsid w:val="00322C32"/>
    <w:rsid w:val="00324837"/>
    <w:rsid w:val="00330B3E"/>
    <w:rsid w:val="0033168D"/>
    <w:rsid w:val="00333907"/>
    <w:rsid w:val="0034444E"/>
    <w:rsid w:val="0036661B"/>
    <w:rsid w:val="00370C56"/>
    <w:rsid w:val="00394600"/>
    <w:rsid w:val="003A78E6"/>
    <w:rsid w:val="003B209E"/>
    <w:rsid w:val="003B5ACB"/>
    <w:rsid w:val="003C1FA7"/>
    <w:rsid w:val="003C51CA"/>
    <w:rsid w:val="003D4301"/>
    <w:rsid w:val="003E1DFB"/>
    <w:rsid w:val="00426ECD"/>
    <w:rsid w:val="004354E9"/>
    <w:rsid w:val="00451AEF"/>
    <w:rsid w:val="004524D4"/>
    <w:rsid w:val="004603D6"/>
    <w:rsid w:val="00460FF8"/>
    <w:rsid w:val="00475E4D"/>
    <w:rsid w:val="004774B7"/>
    <w:rsid w:val="00482DD2"/>
    <w:rsid w:val="004A259A"/>
    <w:rsid w:val="004B2F0B"/>
    <w:rsid w:val="004B4987"/>
    <w:rsid w:val="004B7898"/>
    <w:rsid w:val="004C5EEE"/>
    <w:rsid w:val="004D2AA3"/>
    <w:rsid w:val="004D36C6"/>
    <w:rsid w:val="004E193D"/>
    <w:rsid w:val="004F7251"/>
    <w:rsid w:val="004F7B00"/>
    <w:rsid w:val="005002B4"/>
    <w:rsid w:val="005115BF"/>
    <w:rsid w:val="005165CB"/>
    <w:rsid w:val="005244D1"/>
    <w:rsid w:val="00525819"/>
    <w:rsid w:val="005316E8"/>
    <w:rsid w:val="00557762"/>
    <w:rsid w:val="00585FF0"/>
    <w:rsid w:val="0058698D"/>
    <w:rsid w:val="00591C89"/>
    <w:rsid w:val="005A1212"/>
    <w:rsid w:val="005A1DD6"/>
    <w:rsid w:val="005A600A"/>
    <w:rsid w:val="005B5BBD"/>
    <w:rsid w:val="005D4F6B"/>
    <w:rsid w:val="005D7AFC"/>
    <w:rsid w:val="005E24A6"/>
    <w:rsid w:val="005E77B7"/>
    <w:rsid w:val="005F6FAE"/>
    <w:rsid w:val="0060461E"/>
    <w:rsid w:val="00641D50"/>
    <w:rsid w:val="00655D6D"/>
    <w:rsid w:val="00660656"/>
    <w:rsid w:val="00660CF9"/>
    <w:rsid w:val="00662043"/>
    <w:rsid w:val="00663B12"/>
    <w:rsid w:val="006643B9"/>
    <w:rsid w:val="00675A1F"/>
    <w:rsid w:val="006845F2"/>
    <w:rsid w:val="00684A97"/>
    <w:rsid w:val="006861ED"/>
    <w:rsid w:val="00696325"/>
    <w:rsid w:val="006A03AB"/>
    <w:rsid w:val="006A2607"/>
    <w:rsid w:val="006B067E"/>
    <w:rsid w:val="006C4A11"/>
    <w:rsid w:val="006D77A5"/>
    <w:rsid w:val="006E122E"/>
    <w:rsid w:val="006F30A5"/>
    <w:rsid w:val="006F4694"/>
    <w:rsid w:val="006F54A3"/>
    <w:rsid w:val="00703AE0"/>
    <w:rsid w:val="00707A70"/>
    <w:rsid w:val="00726136"/>
    <w:rsid w:val="007368FF"/>
    <w:rsid w:val="0073754A"/>
    <w:rsid w:val="00737F9B"/>
    <w:rsid w:val="0076008A"/>
    <w:rsid w:val="0076056B"/>
    <w:rsid w:val="0076213A"/>
    <w:rsid w:val="00765667"/>
    <w:rsid w:val="00766A52"/>
    <w:rsid w:val="00775C77"/>
    <w:rsid w:val="00782C55"/>
    <w:rsid w:val="0078339E"/>
    <w:rsid w:val="00783498"/>
    <w:rsid w:val="007A5C20"/>
    <w:rsid w:val="007A60C2"/>
    <w:rsid w:val="007A7664"/>
    <w:rsid w:val="007B13A6"/>
    <w:rsid w:val="007B6421"/>
    <w:rsid w:val="007C7DA1"/>
    <w:rsid w:val="007D3C2A"/>
    <w:rsid w:val="007D533A"/>
    <w:rsid w:val="007F4680"/>
    <w:rsid w:val="007F498D"/>
    <w:rsid w:val="007F7CD2"/>
    <w:rsid w:val="0080096B"/>
    <w:rsid w:val="00810C5C"/>
    <w:rsid w:val="00812E15"/>
    <w:rsid w:val="008147AD"/>
    <w:rsid w:val="00816E0B"/>
    <w:rsid w:val="00821A57"/>
    <w:rsid w:val="00824203"/>
    <w:rsid w:val="00830978"/>
    <w:rsid w:val="008347AB"/>
    <w:rsid w:val="0083760F"/>
    <w:rsid w:val="008435D8"/>
    <w:rsid w:val="00864AC1"/>
    <w:rsid w:val="008741EC"/>
    <w:rsid w:val="008745BD"/>
    <w:rsid w:val="00881C75"/>
    <w:rsid w:val="00887F67"/>
    <w:rsid w:val="0089573D"/>
    <w:rsid w:val="008A0A82"/>
    <w:rsid w:val="008A21DD"/>
    <w:rsid w:val="008A4E78"/>
    <w:rsid w:val="008D2702"/>
    <w:rsid w:val="008E1560"/>
    <w:rsid w:val="00913AC8"/>
    <w:rsid w:val="00927A2A"/>
    <w:rsid w:val="00930E37"/>
    <w:rsid w:val="00936E85"/>
    <w:rsid w:val="009373AD"/>
    <w:rsid w:val="00946C28"/>
    <w:rsid w:val="00957E7D"/>
    <w:rsid w:val="009756B0"/>
    <w:rsid w:val="00976709"/>
    <w:rsid w:val="00990FDE"/>
    <w:rsid w:val="00995435"/>
    <w:rsid w:val="009A6A01"/>
    <w:rsid w:val="009B20DC"/>
    <w:rsid w:val="009B55B1"/>
    <w:rsid w:val="009B64FE"/>
    <w:rsid w:val="009B7A3A"/>
    <w:rsid w:val="009C2CEE"/>
    <w:rsid w:val="009D5BCA"/>
    <w:rsid w:val="009E4317"/>
    <w:rsid w:val="009F5AA9"/>
    <w:rsid w:val="00A07E2C"/>
    <w:rsid w:val="00A20B39"/>
    <w:rsid w:val="00A22D65"/>
    <w:rsid w:val="00A23F56"/>
    <w:rsid w:val="00A305F1"/>
    <w:rsid w:val="00A42B44"/>
    <w:rsid w:val="00A61E56"/>
    <w:rsid w:val="00A63AF8"/>
    <w:rsid w:val="00A652AB"/>
    <w:rsid w:val="00A73FC4"/>
    <w:rsid w:val="00A94187"/>
    <w:rsid w:val="00A953BA"/>
    <w:rsid w:val="00AA4C80"/>
    <w:rsid w:val="00AA7419"/>
    <w:rsid w:val="00AB4AD9"/>
    <w:rsid w:val="00AB6BFB"/>
    <w:rsid w:val="00AD557A"/>
    <w:rsid w:val="00AE2A7A"/>
    <w:rsid w:val="00AF6AD6"/>
    <w:rsid w:val="00B002C2"/>
    <w:rsid w:val="00B02715"/>
    <w:rsid w:val="00B2182E"/>
    <w:rsid w:val="00B2277B"/>
    <w:rsid w:val="00B2579D"/>
    <w:rsid w:val="00B53926"/>
    <w:rsid w:val="00B63FB8"/>
    <w:rsid w:val="00B72B66"/>
    <w:rsid w:val="00B75A28"/>
    <w:rsid w:val="00B760F7"/>
    <w:rsid w:val="00B8059B"/>
    <w:rsid w:val="00B85C3C"/>
    <w:rsid w:val="00B902B2"/>
    <w:rsid w:val="00BB1BBB"/>
    <w:rsid w:val="00BB1E90"/>
    <w:rsid w:val="00BF0937"/>
    <w:rsid w:val="00C11B71"/>
    <w:rsid w:val="00C1645F"/>
    <w:rsid w:val="00C31C83"/>
    <w:rsid w:val="00C31CE2"/>
    <w:rsid w:val="00C33A66"/>
    <w:rsid w:val="00C43FA9"/>
    <w:rsid w:val="00C53E11"/>
    <w:rsid w:val="00C57F5C"/>
    <w:rsid w:val="00C65121"/>
    <w:rsid w:val="00C736EF"/>
    <w:rsid w:val="00C74F15"/>
    <w:rsid w:val="00C763A5"/>
    <w:rsid w:val="00C817E2"/>
    <w:rsid w:val="00CA7E4F"/>
    <w:rsid w:val="00CC41DE"/>
    <w:rsid w:val="00CD4F84"/>
    <w:rsid w:val="00CE0516"/>
    <w:rsid w:val="00CE0981"/>
    <w:rsid w:val="00CE5BC6"/>
    <w:rsid w:val="00CF2BE1"/>
    <w:rsid w:val="00D00CAE"/>
    <w:rsid w:val="00D029F8"/>
    <w:rsid w:val="00D07639"/>
    <w:rsid w:val="00D205B2"/>
    <w:rsid w:val="00D3043C"/>
    <w:rsid w:val="00D351BE"/>
    <w:rsid w:val="00D40BB0"/>
    <w:rsid w:val="00D4748D"/>
    <w:rsid w:val="00D514CD"/>
    <w:rsid w:val="00D72C31"/>
    <w:rsid w:val="00D94319"/>
    <w:rsid w:val="00DA2503"/>
    <w:rsid w:val="00DA408C"/>
    <w:rsid w:val="00DA51BD"/>
    <w:rsid w:val="00DA61B0"/>
    <w:rsid w:val="00DB08FD"/>
    <w:rsid w:val="00DB4CB8"/>
    <w:rsid w:val="00DB6B85"/>
    <w:rsid w:val="00DB6E77"/>
    <w:rsid w:val="00DC1A5D"/>
    <w:rsid w:val="00DD3740"/>
    <w:rsid w:val="00DD5EF2"/>
    <w:rsid w:val="00DE4747"/>
    <w:rsid w:val="00DF0369"/>
    <w:rsid w:val="00E0000D"/>
    <w:rsid w:val="00E0099D"/>
    <w:rsid w:val="00E04130"/>
    <w:rsid w:val="00E126B5"/>
    <w:rsid w:val="00E20C16"/>
    <w:rsid w:val="00E369B2"/>
    <w:rsid w:val="00E44EAC"/>
    <w:rsid w:val="00E45C36"/>
    <w:rsid w:val="00E70FD8"/>
    <w:rsid w:val="00E74B3F"/>
    <w:rsid w:val="00E7645A"/>
    <w:rsid w:val="00EA31D7"/>
    <w:rsid w:val="00EC091E"/>
    <w:rsid w:val="00ED7AAD"/>
    <w:rsid w:val="00F0624A"/>
    <w:rsid w:val="00F07B16"/>
    <w:rsid w:val="00F1014D"/>
    <w:rsid w:val="00F36903"/>
    <w:rsid w:val="00F46D6C"/>
    <w:rsid w:val="00F56F06"/>
    <w:rsid w:val="00F644DF"/>
    <w:rsid w:val="00F67795"/>
    <w:rsid w:val="00F770E6"/>
    <w:rsid w:val="00F969AF"/>
    <w:rsid w:val="00F96DBE"/>
    <w:rsid w:val="00FA4D60"/>
    <w:rsid w:val="00FB43F8"/>
    <w:rsid w:val="00FB47D2"/>
    <w:rsid w:val="00FD101B"/>
    <w:rsid w:val="00FD63BE"/>
    <w:rsid w:val="00FE74B0"/>
    <w:rsid w:val="00FF0575"/>
    <w:rsid w:val="00FF35A3"/>
    <w:rsid w:val="00FF3E27"/>
    <w:rsid w:val="01D65AC4"/>
    <w:rsid w:val="020F7B7E"/>
    <w:rsid w:val="023C63A0"/>
    <w:rsid w:val="02A26AC8"/>
    <w:rsid w:val="02A824AD"/>
    <w:rsid w:val="02AD1871"/>
    <w:rsid w:val="02F5745D"/>
    <w:rsid w:val="0372620B"/>
    <w:rsid w:val="04021749"/>
    <w:rsid w:val="041A1188"/>
    <w:rsid w:val="05063EE9"/>
    <w:rsid w:val="053718C6"/>
    <w:rsid w:val="07317410"/>
    <w:rsid w:val="0736405C"/>
    <w:rsid w:val="07516F96"/>
    <w:rsid w:val="080C0DE8"/>
    <w:rsid w:val="097F55EA"/>
    <w:rsid w:val="098C7AFA"/>
    <w:rsid w:val="099D2CB0"/>
    <w:rsid w:val="0A204A5D"/>
    <w:rsid w:val="0B313A17"/>
    <w:rsid w:val="0D091504"/>
    <w:rsid w:val="0D112137"/>
    <w:rsid w:val="0DB51DAB"/>
    <w:rsid w:val="0EBB3568"/>
    <w:rsid w:val="0EF965D3"/>
    <w:rsid w:val="104E545C"/>
    <w:rsid w:val="11550AB7"/>
    <w:rsid w:val="115806FA"/>
    <w:rsid w:val="116F23E8"/>
    <w:rsid w:val="11A007F3"/>
    <w:rsid w:val="11F03E08"/>
    <w:rsid w:val="122E5DFF"/>
    <w:rsid w:val="124949E7"/>
    <w:rsid w:val="128917A0"/>
    <w:rsid w:val="130F5C30"/>
    <w:rsid w:val="13533D6F"/>
    <w:rsid w:val="14143F98"/>
    <w:rsid w:val="143860A5"/>
    <w:rsid w:val="146A326E"/>
    <w:rsid w:val="149823B2"/>
    <w:rsid w:val="14F859BF"/>
    <w:rsid w:val="15A00DC2"/>
    <w:rsid w:val="16201F02"/>
    <w:rsid w:val="16C805D0"/>
    <w:rsid w:val="16D72F09"/>
    <w:rsid w:val="16F811DF"/>
    <w:rsid w:val="16FB0935"/>
    <w:rsid w:val="174C3A8E"/>
    <w:rsid w:val="17711459"/>
    <w:rsid w:val="18736C61"/>
    <w:rsid w:val="195C5C31"/>
    <w:rsid w:val="198B1AD4"/>
    <w:rsid w:val="1A230ABD"/>
    <w:rsid w:val="1B0167A6"/>
    <w:rsid w:val="1B1F25C5"/>
    <w:rsid w:val="1BC550A1"/>
    <w:rsid w:val="1C62271C"/>
    <w:rsid w:val="1CFC037B"/>
    <w:rsid w:val="1D2351D3"/>
    <w:rsid w:val="1DAF24EA"/>
    <w:rsid w:val="1DE40BB0"/>
    <w:rsid w:val="1DE83057"/>
    <w:rsid w:val="1E1C18CC"/>
    <w:rsid w:val="1E63121F"/>
    <w:rsid w:val="1F1D69EF"/>
    <w:rsid w:val="20191F97"/>
    <w:rsid w:val="204750FD"/>
    <w:rsid w:val="20B61DE1"/>
    <w:rsid w:val="21162880"/>
    <w:rsid w:val="21DE344B"/>
    <w:rsid w:val="220458BF"/>
    <w:rsid w:val="22A7378F"/>
    <w:rsid w:val="22C57779"/>
    <w:rsid w:val="22D078AB"/>
    <w:rsid w:val="22D700DE"/>
    <w:rsid w:val="2434206F"/>
    <w:rsid w:val="25901949"/>
    <w:rsid w:val="25AD5421"/>
    <w:rsid w:val="263B1E7B"/>
    <w:rsid w:val="26B80661"/>
    <w:rsid w:val="27214DB6"/>
    <w:rsid w:val="27565784"/>
    <w:rsid w:val="277A1305"/>
    <w:rsid w:val="278A3680"/>
    <w:rsid w:val="278D3BAC"/>
    <w:rsid w:val="27C64CB5"/>
    <w:rsid w:val="28904CC6"/>
    <w:rsid w:val="28E87487"/>
    <w:rsid w:val="29521CEB"/>
    <w:rsid w:val="29745A9F"/>
    <w:rsid w:val="29C504FC"/>
    <w:rsid w:val="2A0C65CE"/>
    <w:rsid w:val="2AA131BA"/>
    <w:rsid w:val="2B0E006B"/>
    <w:rsid w:val="2B6B7461"/>
    <w:rsid w:val="2D053ED4"/>
    <w:rsid w:val="2D1B54A6"/>
    <w:rsid w:val="2DDB4C35"/>
    <w:rsid w:val="2EEE547C"/>
    <w:rsid w:val="2F997048"/>
    <w:rsid w:val="31AF3F03"/>
    <w:rsid w:val="31EA5447"/>
    <w:rsid w:val="3284631A"/>
    <w:rsid w:val="32D305D1"/>
    <w:rsid w:val="336D071C"/>
    <w:rsid w:val="342F3A72"/>
    <w:rsid w:val="34710344"/>
    <w:rsid w:val="357A2F85"/>
    <w:rsid w:val="358856A2"/>
    <w:rsid w:val="35DC02B1"/>
    <w:rsid w:val="364A6DFC"/>
    <w:rsid w:val="36C645B7"/>
    <w:rsid w:val="36EC5FB1"/>
    <w:rsid w:val="37283C9F"/>
    <w:rsid w:val="377A733E"/>
    <w:rsid w:val="37814F08"/>
    <w:rsid w:val="380D6333"/>
    <w:rsid w:val="38590B6C"/>
    <w:rsid w:val="3969127A"/>
    <w:rsid w:val="39F01A68"/>
    <w:rsid w:val="3CD70CBD"/>
    <w:rsid w:val="3DAB2EE2"/>
    <w:rsid w:val="403C57B3"/>
    <w:rsid w:val="40743897"/>
    <w:rsid w:val="40B05AAD"/>
    <w:rsid w:val="41B11ADD"/>
    <w:rsid w:val="41D35EF7"/>
    <w:rsid w:val="423B584A"/>
    <w:rsid w:val="430F11B1"/>
    <w:rsid w:val="43413CD0"/>
    <w:rsid w:val="439711A6"/>
    <w:rsid w:val="43C37F59"/>
    <w:rsid w:val="43D75451"/>
    <w:rsid w:val="43F81C45"/>
    <w:rsid w:val="4498417F"/>
    <w:rsid w:val="44D3620E"/>
    <w:rsid w:val="44DE52DF"/>
    <w:rsid w:val="451A3F70"/>
    <w:rsid w:val="457C4AF8"/>
    <w:rsid w:val="462D2AFF"/>
    <w:rsid w:val="464473C4"/>
    <w:rsid w:val="46AC4F69"/>
    <w:rsid w:val="46ED5A14"/>
    <w:rsid w:val="470C53AE"/>
    <w:rsid w:val="474156B1"/>
    <w:rsid w:val="4763003C"/>
    <w:rsid w:val="47685E05"/>
    <w:rsid w:val="48E842FF"/>
    <w:rsid w:val="49156DF5"/>
    <w:rsid w:val="493C6A78"/>
    <w:rsid w:val="4A510301"/>
    <w:rsid w:val="4AAA63A9"/>
    <w:rsid w:val="4AAD1530"/>
    <w:rsid w:val="4ACB711A"/>
    <w:rsid w:val="4AF229B2"/>
    <w:rsid w:val="4B106837"/>
    <w:rsid w:val="4B1A06F3"/>
    <w:rsid w:val="4B2D570C"/>
    <w:rsid w:val="4B942912"/>
    <w:rsid w:val="4C113CC0"/>
    <w:rsid w:val="4C96395A"/>
    <w:rsid w:val="4D07739D"/>
    <w:rsid w:val="4D7F33D7"/>
    <w:rsid w:val="4DCD139D"/>
    <w:rsid w:val="4DF62510"/>
    <w:rsid w:val="4E277CA8"/>
    <w:rsid w:val="4E452F50"/>
    <w:rsid w:val="4E824F2D"/>
    <w:rsid w:val="50395ABF"/>
    <w:rsid w:val="505A5A36"/>
    <w:rsid w:val="50A22A76"/>
    <w:rsid w:val="50A46A8A"/>
    <w:rsid w:val="51644FBE"/>
    <w:rsid w:val="52475395"/>
    <w:rsid w:val="528079D5"/>
    <w:rsid w:val="528F7C18"/>
    <w:rsid w:val="538452A3"/>
    <w:rsid w:val="53EE7631"/>
    <w:rsid w:val="540473E0"/>
    <w:rsid w:val="54202A29"/>
    <w:rsid w:val="54853CAF"/>
    <w:rsid w:val="54D9568B"/>
    <w:rsid w:val="55D50038"/>
    <w:rsid w:val="56E542AB"/>
    <w:rsid w:val="56ED3DC1"/>
    <w:rsid w:val="573D318F"/>
    <w:rsid w:val="57660723"/>
    <w:rsid w:val="59945B14"/>
    <w:rsid w:val="5ADD1038"/>
    <w:rsid w:val="5D001B3A"/>
    <w:rsid w:val="5D2418A5"/>
    <w:rsid w:val="5D2452CF"/>
    <w:rsid w:val="5D3D3753"/>
    <w:rsid w:val="5E2C6C63"/>
    <w:rsid w:val="5E351360"/>
    <w:rsid w:val="5E407D02"/>
    <w:rsid w:val="5F3833E6"/>
    <w:rsid w:val="5F7679C4"/>
    <w:rsid w:val="5F7E1B3E"/>
    <w:rsid w:val="5F8731AA"/>
    <w:rsid w:val="60A800F7"/>
    <w:rsid w:val="60AA5E68"/>
    <w:rsid w:val="61303617"/>
    <w:rsid w:val="61381005"/>
    <w:rsid w:val="61857110"/>
    <w:rsid w:val="62742987"/>
    <w:rsid w:val="62A41BB4"/>
    <w:rsid w:val="62AB5051"/>
    <w:rsid w:val="62E717D1"/>
    <w:rsid w:val="633705EE"/>
    <w:rsid w:val="64686F03"/>
    <w:rsid w:val="64B81251"/>
    <w:rsid w:val="661F1431"/>
    <w:rsid w:val="66406984"/>
    <w:rsid w:val="667062F3"/>
    <w:rsid w:val="667C1E0A"/>
    <w:rsid w:val="67F53CE1"/>
    <w:rsid w:val="68287D17"/>
    <w:rsid w:val="691C78D4"/>
    <w:rsid w:val="69D92DC0"/>
    <w:rsid w:val="6A106C14"/>
    <w:rsid w:val="6A1F767C"/>
    <w:rsid w:val="6AF71B23"/>
    <w:rsid w:val="6B62453E"/>
    <w:rsid w:val="6B9F3035"/>
    <w:rsid w:val="6CB542C8"/>
    <w:rsid w:val="6E071855"/>
    <w:rsid w:val="70D0428E"/>
    <w:rsid w:val="70E70ADA"/>
    <w:rsid w:val="71AB5C99"/>
    <w:rsid w:val="73634A7D"/>
    <w:rsid w:val="737F18E2"/>
    <w:rsid w:val="739369E5"/>
    <w:rsid w:val="745D75EB"/>
    <w:rsid w:val="747E1443"/>
    <w:rsid w:val="74D80B53"/>
    <w:rsid w:val="74EC45FF"/>
    <w:rsid w:val="75110DA7"/>
    <w:rsid w:val="75CA2B92"/>
    <w:rsid w:val="76655B13"/>
    <w:rsid w:val="77C06F53"/>
    <w:rsid w:val="782567A5"/>
    <w:rsid w:val="78EA2879"/>
    <w:rsid w:val="79915775"/>
    <w:rsid w:val="79A05249"/>
    <w:rsid w:val="7B445194"/>
    <w:rsid w:val="7B89570D"/>
    <w:rsid w:val="7BA55518"/>
    <w:rsid w:val="7C0D4D3D"/>
    <w:rsid w:val="7CE42605"/>
    <w:rsid w:val="7D562123"/>
    <w:rsid w:val="7E2D63B4"/>
    <w:rsid w:val="7F17496E"/>
    <w:rsid w:val="7F8E16E6"/>
    <w:rsid w:val="7FA04963"/>
    <w:rsid w:val="7FCE14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3"/>
    <w:qFormat/>
    <w:uiPriority w:val="99"/>
    <w:pPr>
      <w:keepNext/>
      <w:keepLines/>
      <w:spacing w:before="260" w:after="260" w:line="416" w:lineRule="auto"/>
      <w:outlineLvl w:val="1"/>
    </w:pPr>
    <w:rPr>
      <w:rFonts w:ascii="Cambria" w:hAnsi="Cambria" w:cs="Cambria"/>
      <w:b/>
      <w:bCs/>
      <w:sz w:val="32"/>
      <w:szCs w:val="32"/>
    </w:rPr>
  </w:style>
  <w:style w:type="paragraph" w:styleId="6">
    <w:name w:val="heading 3"/>
    <w:basedOn w:val="1"/>
    <w:next w:val="1"/>
    <w:link w:val="24"/>
    <w:qFormat/>
    <w:uiPriority w:val="99"/>
    <w:pPr>
      <w:keepNext/>
      <w:keepLines/>
      <w:spacing w:before="260" w:after="260" w:line="413" w:lineRule="auto"/>
      <w:outlineLvl w:val="2"/>
    </w:pPr>
    <w:rPr>
      <w:b/>
      <w:bCs/>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link w:val="32"/>
    <w:qFormat/>
    <w:uiPriority w:val="99"/>
    <w:pPr>
      <w:spacing w:after="120"/>
      <w:ind w:left="420" w:leftChars="200"/>
    </w:pPr>
  </w:style>
  <w:style w:type="paragraph" w:styleId="7">
    <w:name w:val="Normal Indent"/>
    <w:basedOn w:val="1"/>
    <w:qFormat/>
    <w:uiPriority w:val="0"/>
    <w:pPr>
      <w:adjustRightInd w:val="0"/>
      <w:snapToGrid w:val="0"/>
      <w:spacing w:line="360" w:lineRule="auto"/>
      <w:ind w:firstLine="420"/>
    </w:pPr>
    <w:rPr>
      <w:sz w:val="24"/>
      <w:szCs w:val="20"/>
    </w:rPr>
  </w:style>
  <w:style w:type="paragraph" w:styleId="8">
    <w:name w:val="annotation text"/>
    <w:basedOn w:val="1"/>
    <w:unhideWhenUsed/>
    <w:qFormat/>
    <w:uiPriority w:val="0"/>
    <w:pPr>
      <w:jc w:val="left"/>
    </w:pPr>
  </w:style>
  <w:style w:type="paragraph" w:styleId="9">
    <w:name w:val="Body Text"/>
    <w:basedOn w:val="1"/>
    <w:link w:val="29"/>
    <w:qFormat/>
    <w:uiPriority w:val="99"/>
    <w:rPr>
      <w:rFonts w:ascii="宋体" w:hAnsi="宋体" w:cs="宋体"/>
      <w:sz w:val="28"/>
      <w:szCs w:val="28"/>
    </w:rPr>
  </w:style>
  <w:style w:type="paragraph" w:styleId="10">
    <w:name w:val="Date"/>
    <w:basedOn w:val="1"/>
    <w:next w:val="1"/>
    <w:link w:val="33"/>
    <w:qFormat/>
    <w:uiPriority w:val="99"/>
    <w:pPr>
      <w:ind w:left="100" w:leftChars="2500"/>
    </w:pPr>
  </w:style>
  <w:style w:type="paragraph" w:styleId="11">
    <w:name w:val="Body Text Indent 2"/>
    <w:basedOn w:val="1"/>
    <w:link w:val="28"/>
    <w:qFormat/>
    <w:uiPriority w:val="99"/>
    <w:pPr>
      <w:spacing w:after="120" w:line="480" w:lineRule="auto"/>
      <w:ind w:left="420" w:leftChars="200"/>
    </w:pPr>
  </w:style>
  <w:style w:type="paragraph" w:styleId="12">
    <w:name w:val="Balloon Text"/>
    <w:basedOn w:val="1"/>
    <w:link w:val="25"/>
    <w:qFormat/>
    <w:uiPriority w:val="99"/>
    <w:rPr>
      <w:sz w:val="18"/>
      <w:szCs w:val="18"/>
    </w:rPr>
  </w:style>
  <w:style w:type="paragraph" w:styleId="13">
    <w:name w:val="footer"/>
    <w:basedOn w:val="1"/>
    <w:link w:val="22"/>
    <w:qFormat/>
    <w:uiPriority w:val="99"/>
    <w:pPr>
      <w:tabs>
        <w:tab w:val="center" w:pos="4153"/>
        <w:tab w:val="right" w:pos="8306"/>
      </w:tabs>
      <w:snapToGrid w:val="0"/>
      <w:jc w:val="left"/>
    </w:pPr>
    <w:rPr>
      <w:sz w:val="18"/>
      <w:szCs w:val="18"/>
    </w:rPr>
  </w:style>
  <w:style w:type="paragraph" w:styleId="14">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7">
    <w:name w:val="Table Grid"/>
    <w:basedOn w:val="16"/>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rPr>
  </w:style>
  <w:style w:type="character" w:styleId="20">
    <w:name w:val="page number"/>
    <w:basedOn w:val="18"/>
    <w:qFormat/>
    <w:uiPriority w:val="99"/>
  </w:style>
  <w:style w:type="character" w:customStyle="1" w:styleId="21">
    <w:name w:val="页眉 Char"/>
    <w:basedOn w:val="18"/>
    <w:link w:val="14"/>
    <w:qFormat/>
    <w:uiPriority w:val="99"/>
    <w:rPr>
      <w:sz w:val="18"/>
      <w:szCs w:val="18"/>
    </w:rPr>
  </w:style>
  <w:style w:type="character" w:customStyle="1" w:styleId="22">
    <w:name w:val="页脚 Char"/>
    <w:basedOn w:val="18"/>
    <w:link w:val="13"/>
    <w:qFormat/>
    <w:uiPriority w:val="99"/>
    <w:rPr>
      <w:sz w:val="18"/>
      <w:szCs w:val="18"/>
    </w:rPr>
  </w:style>
  <w:style w:type="character" w:customStyle="1" w:styleId="23">
    <w:name w:val="标题 2 Char"/>
    <w:basedOn w:val="18"/>
    <w:link w:val="5"/>
    <w:qFormat/>
    <w:uiPriority w:val="99"/>
    <w:rPr>
      <w:rFonts w:ascii="Cambria" w:hAnsi="Cambria" w:eastAsia="宋体" w:cs="Cambria"/>
      <w:b/>
      <w:bCs/>
      <w:sz w:val="32"/>
      <w:szCs w:val="32"/>
    </w:rPr>
  </w:style>
  <w:style w:type="character" w:customStyle="1" w:styleId="24">
    <w:name w:val="标题 3 Char"/>
    <w:basedOn w:val="18"/>
    <w:link w:val="6"/>
    <w:qFormat/>
    <w:uiPriority w:val="99"/>
    <w:rPr>
      <w:rFonts w:ascii="Times New Roman" w:hAnsi="Times New Roman" w:eastAsia="宋体" w:cs="Times New Roman"/>
      <w:b/>
      <w:bCs/>
      <w:sz w:val="32"/>
      <w:szCs w:val="32"/>
    </w:rPr>
  </w:style>
  <w:style w:type="character" w:customStyle="1" w:styleId="25">
    <w:name w:val="批注框文本 Char"/>
    <w:basedOn w:val="18"/>
    <w:link w:val="12"/>
    <w:qFormat/>
    <w:uiPriority w:val="99"/>
    <w:rPr>
      <w:rFonts w:ascii="Times New Roman" w:hAnsi="Times New Roman" w:eastAsia="宋体" w:cs="Times New Roman"/>
      <w:sz w:val="18"/>
      <w:szCs w:val="18"/>
    </w:rPr>
  </w:style>
  <w:style w:type="paragraph" w:customStyle="1" w:styleId="26">
    <w:name w:val="CM101"/>
    <w:basedOn w:val="1"/>
    <w:next w:val="1"/>
    <w:qFormat/>
    <w:uiPriority w:val="99"/>
    <w:pPr>
      <w:autoSpaceDE w:val="0"/>
      <w:autoSpaceDN w:val="0"/>
      <w:adjustRightInd w:val="0"/>
      <w:spacing w:after="800"/>
      <w:jc w:val="left"/>
    </w:pPr>
    <w:rPr>
      <w:rFonts w:ascii="宋体" w:cs="宋体"/>
      <w:kern w:val="0"/>
      <w:sz w:val="24"/>
      <w:szCs w:val="24"/>
    </w:rPr>
  </w:style>
  <w:style w:type="paragraph" w:customStyle="1" w:styleId="27">
    <w:name w:val="附件标题-1"/>
    <w:basedOn w:val="1"/>
    <w:qFormat/>
    <w:uiPriority w:val="99"/>
    <w:pPr>
      <w:spacing w:beforeLines="50" w:afterLines="50"/>
      <w:jc w:val="center"/>
    </w:pPr>
    <w:rPr>
      <w:rFonts w:eastAsia="黑体"/>
      <w:sz w:val="32"/>
      <w:szCs w:val="32"/>
    </w:rPr>
  </w:style>
  <w:style w:type="character" w:customStyle="1" w:styleId="28">
    <w:name w:val="正文文本缩进 2 Char"/>
    <w:basedOn w:val="18"/>
    <w:link w:val="11"/>
    <w:qFormat/>
    <w:uiPriority w:val="99"/>
    <w:rPr>
      <w:rFonts w:ascii="Times New Roman" w:hAnsi="Times New Roman" w:eastAsia="宋体" w:cs="Times New Roman"/>
      <w:szCs w:val="21"/>
    </w:rPr>
  </w:style>
  <w:style w:type="character" w:customStyle="1" w:styleId="29">
    <w:name w:val="正文文本 Char"/>
    <w:basedOn w:val="18"/>
    <w:link w:val="9"/>
    <w:qFormat/>
    <w:uiPriority w:val="99"/>
    <w:rPr>
      <w:rFonts w:ascii="宋体" w:hAnsi="宋体" w:eastAsia="宋体" w:cs="宋体"/>
      <w:sz w:val="28"/>
      <w:szCs w:val="28"/>
    </w:rPr>
  </w:style>
  <w:style w:type="paragraph" w:customStyle="1" w:styleId="3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CM1"/>
    <w:basedOn w:val="30"/>
    <w:next w:val="30"/>
    <w:qFormat/>
    <w:uiPriority w:val="99"/>
    <w:rPr>
      <w:color w:val="auto"/>
    </w:rPr>
  </w:style>
  <w:style w:type="character" w:customStyle="1" w:styleId="32">
    <w:name w:val="正文文本缩进 Char"/>
    <w:basedOn w:val="18"/>
    <w:link w:val="3"/>
    <w:qFormat/>
    <w:uiPriority w:val="99"/>
    <w:rPr>
      <w:rFonts w:ascii="Times New Roman" w:hAnsi="Times New Roman" w:eastAsia="宋体" w:cs="Times New Roman"/>
      <w:szCs w:val="21"/>
    </w:rPr>
  </w:style>
  <w:style w:type="character" w:customStyle="1" w:styleId="33">
    <w:name w:val="日期 Char"/>
    <w:basedOn w:val="18"/>
    <w:link w:val="10"/>
    <w:qFormat/>
    <w:uiPriority w:val="99"/>
    <w:rPr>
      <w:rFonts w:ascii="Times New Roman" w:hAnsi="Times New Roman" w:eastAsia="宋体" w:cs="Times New Roman"/>
      <w:szCs w:val="21"/>
    </w:rPr>
  </w:style>
  <w:style w:type="paragraph" w:styleId="34">
    <w:name w:val="List Paragraph"/>
    <w:basedOn w:val="1"/>
    <w:link w:val="37"/>
    <w:qFormat/>
    <w:uiPriority w:val="34"/>
    <w:pPr>
      <w:ind w:firstLine="420" w:firstLineChars="200"/>
    </w:pPr>
    <w:rPr>
      <w:szCs w:val="24"/>
    </w:rPr>
  </w:style>
  <w:style w:type="paragraph" w:customStyle="1" w:styleId="3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36">
    <w:name w:val="图例"/>
    <w:basedOn w:val="1"/>
    <w:qFormat/>
    <w:uiPriority w:val="99"/>
    <w:pPr>
      <w:spacing w:before="120" w:after="120" w:line="360" w:lineRule="auto"/>
      <w:jc w:val="center"/>
    </w:pPr>
    <w:rPr>
      <w:rFonts w:eastAsia="仿宋_GB2312"/>
      <w:b/>
      <w:sz w:val="24"/>
      <w:szCs w:val="20"/>
    </w:rPr>
  </w:style>
  <w:style w:type="character" w:customStyle="1" w:styleId="37">
    <w:name w:val="列出段落 Char"/>
    <w:link w:val="34"/>
    <w:qFormat/>
    <w:uiPriority w:val="34"/>
    <w:rPr>
      <w:kern w:val="2"/>
      <w:sz w:val="21"/>
      <w:szCs w:val="24"/>
    </w:rPr>
  </w:style>
  <w:style w:type="character" w:customStyle="1" w:styleId="38">
    <w:name w:val="标题 1 Char"/>
    <w:basedOn w:val="18"/>
    <w:link w:val="4"/>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8B6EA-D406-463D-98BA-2AE66EDD6FB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6674</Words>
  <Characters>7500</Characters>
  <Lines>69</Lines>
  <Paragraphs>19</Paragraphs>
  <TotalTime>0</TotalTime>
  <ScaleCrop>false</ScaleCrop>
  <LinksUpToDate>false</LinksUpToDate>
  <CharactersWithSpaces>8506</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2023-12-11T09:03:00Z</dcterms:created>
  <dc:creator>admin</dc:creator>
  <cp:lastModifiedBy>Administrator</cp:lastModifiedBy>
  <cp:lastPrinted>2024-01-24T00:48:00Z</cp:lastPrinted>
  <dcterms:modified xsi:type="dcterms:W3CDTF">2024-01-30T07:14:24Z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262091D3C9F247A79171AAAAFD8E659F</vt:lpwstr>
  </property>
  <property fmtid="{D5CDD505-2E9C-101B-9397-08002B2CF9AE}" pid="3" name="KSOProductBuildVer">
    <vt:lpwstr>2052-11.8.2.12195</vt:lpwstr>
  </property>
</Properties>
</file>