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sz w:val="28"/>
          <w:szCs w:val="28"/>
          <w:u w:val="single"/>
        </w:rPr>
      </w:pPr>
      <w:r>
        <w:rPr>
          <w:rFonts w:hint="eastAsia"/>
          <w:sz w:val="32"/>
          <w:szCs w:val="32"/>
        </w:rPr>
        <w:t xml:space="preserve">  项目名称：</w:t>
      </w:r>
      <w:r>
        <w:rPr>
          <w:rFonts w:hint="eastAsia"/>
          <w:sz w:val="32"/>
          <w:szCs w:val="32"/>
          <w:u w:val="single"/>
        </w:rPr>
        <w:t xml:space="preserve">   </w:t>
      </w:r>
      <w:r>
        <w:rPr>
          <w:rFonts w:hint="eastAsia"/>
          <w:sz w:val="32"/>
          <w:szCs w:val="32"/>
          <w:u w:val="single"/>
          <w:lang w:eastAsia="zh-CN"/>
        </w:rPr>
        <w:t>重钢总医院内镜中心胃肠镜维保项目（</w:t>
      </w:r>
      <w:r>
        <w:rPr>
          <w:rFonts w:hint="eastAsia"/>
          <w:sz w:val="32"/>
          <w:szCs w:val="32"/>
          <w:u w:val="single"/>
          <w:lang w:val="en-US" w:eastAsia="zh-CN"/>
        </w:rPr>
        <w:t>第二次）</w:t>
      </w:r>
      <w:r>
        <w:rPr>
          <w:rFonts w:hint="eastAsia"/>
          <w:sz w:val="32"/>
          <w:szCs w:val="32"/>
          <w:u w:val="single"/>
        </w:rPr>
        <w:t xml:space="preserve"> </w:t>
      </w:r>
      <w:r>
        <w:rPr>
          <w:rFonts w:hint="eastAsia"/>
          <w:sz w:val="28"/>
          <w:szCs w:val="28"/>
          <w:u w:val="single"/>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40</w:t>
      </w:r>
      <w:r>
        <w:rPr>
          <w:rFonts w:hint="eastAsia"/>
          <w:sz w:val="28"/>
          <w:szCs w:val="28"/>
          <w:u w:val="single"/>
          <w:lang w:val="en-US" w:eastAsia="zh-CN"/>
        </w:rPr>
        <w:t>4</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sz w:val="48"/>
          <w:szCs w:val="48"/>
        </w:rPr>
      </w:pPr>
      <w:r>
        <w:rPr>
          <w:rFonts w:hint="eastAsia"/>
          <w:sz w:val="48"/>
          <w:szCs w:val="48"/>
        </w:rPr>
        <w:t>竞 争 性 比 选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4</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 xml:space="preserve">第一章  </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u w:val="single"/>
          <w:lang w:eastAsia="zh-CN"/>
        </w:rPr>
        <w:t>重钢总医院内镜中心胃肠镜维保项目（</w:t>
      </w:r>
      <w:r>
        <w:rPr>
          <w:rFonts w:hint="eastAsia" w:cs="宋体" w:asciiTheme="minorEastAsia" w:hAnsiTheme="minorEastAsia" w:eastAsiaTheme="minorEastAsia"/>
          <w:b/>
          <w:bCs w:val="0"/>
          <w:sz w:val="24"/>
          <w:szCs w:val="24"/>
          <w:u w:val="single"/>
          <w:lang w:val="en-US" w:eastAsia="zh-CN"/>
        </w:rPr>
        <w:t>第二次）</w:t>
      </w:r>
      <w:r>
        <w:rPr>
          <w:rFonts w:hint="eastAsia" w:cs="宋体" w:asciiTheme="minorEastAsia" w:hAnsiTheme="minorEastAsia" w:eastAsiaTheme="minorEastAsia"/>
          <w:b/>
          <w:bCs w:val="0"/>
          <w:sz w:val="24"/>
          <w:szCs w:val="24"/>
          <w:u w:val="single"/>
        </w:rPr>
        <w:t xml:space="preserve">  </w:t>
      </w:r>
      <w:r>
        <w:rPr>
          <w:rFonts w:hint="eastAsia" w:cs="宋体" w:asciiTheme="minorEastAsia" w:hAnsiTheme="minorEastAsia" w:eastAsiaTheme="minorEastAsia"/>
          <w:b/>
          <w:bCs w:val="0"/>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重钢总医院内镜中心胃肠镜维保项目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0"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重钢总医院内镜中心胃肠镜维保项目</w:t>
      </w:r>
    </w:p>
    <w:p>
      <w:pPr>
        <w:spacing w:line="420" w:lineRule="exact"/>
        <w:ind w:firstLine="480"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二、项目地点：重庆市大渡口区大堰三村特1号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三、</w:t>
      </w:r>
      <w:r>
        <w:rPr>
          <w:rFonts w:hint="eastAsia" w:cs="宋体" w:asciiTheme="minorEastAsia" w:hAnsiTheme="minorEastAsia" w:eastAsiaTheme="minorEastAsia"/>
          <w:bCs/>
          <w:sz w:val="24"/>
          <w:szCs w:val="24"/>
          <w:lang w:val="en-US" w:eastAsia="zh-CN"/>
        </w:rPr>
        <w:t>服务周</w:t>
      </w:r>
      <w:r>
        <w:rPr>
          <w:rFonts w:hint="eastAsia" w:cs="宋体" w:asciiTheme="minorEastAsia" w:hAnsiTheme="minorEastAsia" w:eastAsiaTheme="minorEastAsia"/>
          <w:bCs/>
          <w:sz w:val="24"/>
          <w:szCs w:val="24"/>
        </w:rPr>
        <w:t>期：</w:t>
      </w:r>
      <w:r>
        <w:rPr>
          <w:rFonts w:hint="eastAsia" w:cs="宋体" w:asciiTheme="minorEastAsia" w:hAnsiTheme="minorEastAsia" w:eastAsiaTheme="minorEastAsia"/>
          <w:bCs/>
          <w:sz w:val="24"/>
          <w:szCs w:val="24"/>
          <w:lang w:val="en-US" w:eastAsia="zh-CN"/>
        </w:rPr>
        <w:t>3年</w:t>
      </w:r>
      <w:r>
        <w:rPr>
          <w:rFonts w:hint="eastAsia" w:ascii="宋体" w:hAnsi="宋体" w:cs="宋体"/>
          <w:bCs/>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四、维保内容</w:t>
      </w:r>
      <w:r>
        <w:rPr>
          <w:rFonts w:hint="eastAsia" w:cs="宋体" w:asciiTheme="minorEastAsia" w:hAnsiTheme="minorEastAsia" w:eastAsiaTheme="minorEastAsia"/>
          <w:bCs/>
          <w:sz w:val="24"/>
          <w:szCs w:val="24"/>
          <w:lang w:val="en-US" w:eastAsia="zh-CN"/>
        </w:rPr>
        <w:t>及范围</w:t>
      </w:r>
      <w:r>
        <w:rPr>
          <w:rFonts w:hint="eastAsia" w:cs="宋体" w:asciiTheme="minorEastAsia" w:hAnsiTheme="minorEastAsia" w:eastAsiaTheme="minorEastAsia"/>
          <w:bCs/>
          <w:sz w:val="24"/>
          <w:szCs w:val="24"/>
        </w:rPr>
        <w:t>：</w:t>
      </w:r>
    </w:p>
    <w:p>
      <w:pPr>
        <w:spacing w:line="420" w:lineRule="exact"/>
        <w:ind w:firstLine="480" w:firstLineChars="200"/>
        <w:rPr>
          <w:rFonts w:hint="eastAsia" w:cs="宋体" w:asciiTheme="minorEastAsia" w:hAnsiTheme="minorEastAsia" w:eastAsiaTheme="minorEastAsia"/>
          <w:bCs/>
          <w:sz w:val="24"/>
          <w:szCs w:val="24"/>
          <w:lang w:eastAsia="zh-CN"/>
        </w:rPr>
      </w:pPr>
      <w:r>
        <w:rPr>
          <w:rFonts w:hint="eastAsia" w:cs="宋体" w:asciiTheme="minorEastAsia" w:hAnsiTheme="minorEastAsia" w:eastAsiaTheme="minorEastAsia"/>
          <w:bCs/>
          <w:sz w:val="24"/>
          <w:szCs w:val="24"/>
          <w:lang w:eastAsia="zh-CN"/>
        </w:rPr>
        <w:t>奥林巴斯胃肠内窥软镜（叁条）</w:t>
      </w:r>
      <w:r>
        <w:rPr>
          <w:rFonts w:hint="eastAsia" w:cs="宋体" w:asciiTheme="minorEastAsia" w:hAnsiTheme="minorEastAsia" w:eastAsiaTheme="minorEastAsia"/>
          <w:bCs/>
          <w:sz w:val="24"/>
          <w:szCs w:val="24"/>
          <w:lang w:val="en-US" w:eastAsia="zh-CN"/>
        </w:rPr>
        <w:t>的</w:t>
      </w:r>
      <w:r>
        <w:rPr>
          <w:rFonts w:hint="eastAsia" w:cs="宋体" w:asciiTheme="minorEastAsia" w:hAnsiTheme="minorEastAsia" w:eastAsiaTheme="minorEastAsia"/>
          <w:bCs/>
          <w:sz w:val="24"/>
          <w:szCs w:val="24"/>
          <w:lang w:eastAsia="zh-CN"/>
        </w:rPr>
        <w:t>所有部件。具体型号、数量如下：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932"/>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品牌</w:t>
            </w:r>
          </w:p>
        </w:tc>
        <w:tc>
          <w:tcPr>
            <w:tcW w:w="493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型号</w:t>
            </w:r>
          </w:p>
        </w:tc>
        <w:tc>
          <w:tcPr>
            <w:tcW w:w="1900"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restart"/>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OLYMPUS</w:t>
            </w:r>
          </w:p>
        </w:tc>
        <w:tc>
          <w:tcPr>
            <w:tcW w:w="4932" w:type="dxa"/>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高清290型肠镜（PCF-H290DI）</w:t>
            </w:r>
          </w:p>
        </w:tc>
        <w:tc>
          <w:tcPr>
            <w:tcW w:w="1900"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ign w:val="center"/>
          </w:tcPr>
          <w:p>
            <w:pPr>
              <w:jc w:val="center"/>
              <w:rPr>
                <w:rFonts w:hint="eastAsia" w:ascii="宋体" w:hAnsi="宋体" w:eastAsia="宋体" w:cs="宋体"/>
                <w:sz w:val="21"/>
                <w:szCs w:val="21"/>
              </w:rPr>
            </w:pPr>
          </w:p>
        </w:tc>
        <w:tc>
          <w:tcPr>
            <w:tcW w:w="4932" w:type="dxa"/>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高画质260型放大肠镜(PCF-Q260AZI)</w:t>
            </w:r>
          </w:p>
        </w:tc>
        <w:tc>
          <w:tcPr>
            <w:tcW w:w="1900"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ign w:val="center"/>
          </w:tcPr>
          <w:p>
            <w:pPr>
              <w:jc w:val="center"/>
              <w:rPr>
                <w:rFonts w:hint="eastAsia" w:ascii="宋体" w:hAnsi="宋体" w:eastAsia="宋体" w:cs="宋体"/>
                <w:sz w:val="21"/>
                <w:szCs w:val="21"/>
              </w:rPr>
            </w:pPr>
          </w:p>
        </w:tc>
        <w:tc>
          <w:tcPr>
            <w:tcW w:w="4932" w:type="dxa"/>
            <w:noWrap/>
            <w:vAlign w:val="center"/>
          </w:tcPr>
          <w:p>
            <w:pPr>
              <w:jc w:val="left"/>
              <w:rPr>
                <w:rFonts w:hint="eastAsia" w:ascii="宋体" w:hAnsi="宋体" w:eastAsia="宋体" w:cs="宋体"/>
                <w:sz w:val="21"/>
                <w:szCs w:val="21"/>
              </w:rPr>
            </w:pPr>
            <w:r>
              <w:rPr>
                <w:rFonts w:hint="eastAsia" w:ascii="宋体" w:hAnsi="宋体" w:eastAsia="宋体" w:cs="宋体"/>
                <w:sz w:val="21"/>
                <w:szCs w:val="21"/>
              </w:rPr>
              <w:t>高清290型放大胃镜（GIF-H290Z）</w:t>
            </w:r>
          </w:p>
        </w:tc>
        <w:tc>
          <w:tcPr>
            <w:tcW w:w="1900"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4" w:type="dxa"/>
            <w:vMerge w:val="continue"/>
            <w:noWrap/>
            <w:vAlign w:val="center"/>
          </w:tcPr>
          <w:p>
            <w:pPr>
              <w:jc w:val="center"/>
              <w:rPr>
                <w:rFonts w:hint="eastAsia" w:ascii="宋体" w:hAnsi="宋体" w:eastAsia="宋体" w:cs="宋体"/>
                <w:sz w:val="21"/>
                <w:szCs w:val="21"/>
              </w:rPr>
            </w:pPr>
          </w:p>
        </w:tc>
        <w:tc>
          <w:tcPr>
            <w:tcW w:w="493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合计</w:t>
            </w:r>
          </w:p>
        </w:tc>
        <w:tc>
          <w:tcPr>
            <w:tcW w:w="1900"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3条</w:t>
            </w:r>
          </w:p>
        </w:tc>
      </w:tr>
    </w:tbl>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五、资格要求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（二）参加采购活动前三年内，（指</w:t>
      </w:r>
      <w:r>
        <w:rPr>
          <w:rFonts w:cs="宋体" w:asciiTheme="minorEastAsia" w:hAnsiTheme="minorEastAsia" w:eastAsiaTheme="minorEastAsia"/>
          <w:sz w:val="24"/>
          <w:szCs w:val="24"/>
        </w:rPr>
        <w:t>20</w:t>
      </w:r>
      <w:r>
        <w:rPr>
          <w:rFonts w:hint="eastAsia" w:cs="宋体" w:asciiTheme="minorEastAsia" w:hAnsiTheme="minorEastAsia" w:eastAsiaTheme="minorEastAsia"/>
          <w:sz w:val="24"/>
          <w:szCs w:val="24"/>
        </w:rPr>
        <w:t>21年</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月</w:t>
      </w: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日至今），在经营活动中没有重大违法记录。</w:t>
      </w:r>
    </w:p>
    <w:p>
      <w:pPr>
        <w:spacing w:line="4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1</w:t>
      </w:r>
      <w:r>
        <w:rPr>
          <w:rFonts w:hint="eastAsia" w:cs="宋体" w:asciiTheme="minorEastAsia" w:hAnsiTheme="minorEastAsia" w:eastAsiaTheme="minorEastAsia"/>
          <w:sz w:val="24"/>
          <w:szCs w:val="24"/>
        </w:rPr>
        <w:t>．响应人提供书面声明。</w:t>
      </w:r>
    </w:p>
    <w:p>
      <w:pPr>
        <w:spacing w:line="4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2</w:t>
      </w:r>
      <w:r>
        <w:rPr>
          <w:rFonts w:hint="eastAsia" w:cs="宋体" w:asciiTheme="minorEastAsia" w:hAnsiTheme="minorEastAsia" w:eastAsiaTheme="minorEastAsia"/>
          <w:sz w:val="24"/>
          <w:szCs w:val="24"/>
        </w:rPr>
        <w:t>．响应人提供信用中国网站（</w:t>
      </w:r>
      <w:r>
        <w:fldChar w:fldCharType="begin"/>
      </w:r>
      <w:r>
        <w:instrText xml:space="preserve"> HYPERLINK "http://www.creditchina.gov.cn" </w:instrText>
      </w:r>
      <w:r>
        <w:fldChar w:fldCharType="separate"/>
      </w:r>
      <w:r>
        <w:rPr>
          <w:rFonts w:cs="宋体" w:asciiTheme="minorEastAsia" w:hAnsiTheme="minorEastAsia" w:eastAsiaTheme="minorEastAsia"/>
          <w:sz w:val="24"/>
          <w:szCs w:val="24"/>
        </w:rPr>
        <w:t>www.creditchina.gov.cn</w:t>
      </w:r>
      <w:r>
        <w:rPr>
          <w:rFonts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）以下内容的查询结果网页打印件（查询信息为响应人名称）</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“信用信息”查询结果。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“失信被执行人”查询结果。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“重大税收违法案件当事人名单”查询结果。</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“政府行政许可与行政处罚”查询结果。</w:t>
      </w:r>
    </w:p>
    <w:p>
      <w:pPr>
        <w:spacing w:line="420" w:lineRule="exact"/>
        <w:ind w:firstLine="480" w:firstLineChars="200"/>
        <w:rPr>
          <w:rFonts w:cs="宋体" w:asciiTheme="minorEastAsia" w:hAnsiTheme="minorEastAsia" w:eastAsiaTheme="minorEastAsia"/>
          <w:sz w:val="24"/>
          <w:szCs w:val="24"/>
        </w:rPr>
      </w:pPr>
      <w:r>
        <w:rPr>
          <w:rFonts w:cs="宋体" w:asciiTheme="minorEastAsia" w:hAnsiTheme="minorEastAsia" w:eastAsiaTheme="minorEastAsia"/>
          <w:sz w:val="24"/>
          <w:szCs w:val="24"/>
        </w:rPr>
        <w:t>3</w:t>
      </w:r>
      <w:r>
        <w:rPr>
          <w:rFonts w:hint="eastAsia" w:cs="宋体" w:asciiTheme="minorEastAsia" w:hAnsiTheme="minorEastAsia" w:eastAsiaTheme="minorEastAsia"/>
          <w:sz w:val="24"/>
          <w:szCs w:val="24"/>
        </w:rPr>
        <w:t>．中国政府采购网（</w:t>
      </w:r>
      <w:r>
        <w:rPr>
          <w:rFonts w:cs="宋体" w:asciiTheme="minorEastAsia" w:hAnsiTheme="minorEastAsia" w:eastAsiaTheme="minorEastAsia"/>
          <w:sz w:val="24"/>
          <w:szCs w:val="24"/>
        </w:rPr>
        <w:t>www.ccgp.gov.cn</w:t>
      </w:r>
      <w:r>
        <w:rPr>
          <w:rFonts w:hint="eastAsia" w:cs="宋体" w:asciiTheme="minorEastAsia" w:hAnsiTheme="minorEastAsia" w:eastAsiaTheme="minorEastAsia"/>
          <w:sz w:val="24"/>
          <w:szCs w:val="24"/>
        </w:rPr>
        <w:t>）“政府采购严重违法失信行为记录名单”查询结果，提供查询结果网页打印件。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以上查询时间为本项目采购公告发布之日起至响应文件递交截止时间前。</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（三）法律、行政法规规定的其他条件。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（四）本次比选不接受联合体参与。</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六、现场踏勘</w:t>
      </w:r>
      <w:r>
        <w:rPr>
          <w:rFonts w:hint="eastAsia" w:cs="宋体" w:asciiTheme="minorEastAsia" w:hAnsiTheme="minorEastAsia" w:eastAsiaTheme="minorEastAsia"/>
          <w:sz w:val="24"/>
          <w:szCs w:val="24"/>
        </w:rPr>
        <w:t>：自行踏勘,</w:t>
      </w:r>
      <w:r>
        <w:rPr>
          <w:rFonts w:cs="宋体" w:asciiTheme="minorEastAsia" w:hAnsiTheme="minorEastAsia" w:eastAsiaTheme="minorEastAsia"/>
          <w:sz w:val="24"/>
          <w:szCs w:val="24"/>
        </w:rPr>
        <w:t xml:space="preserve"> 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七、比选时间、地点及文件获取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8</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8</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0时。超过截止时间的恕不接受（现场递交响应文件）。如比选时间与比选方临时会议冲突，比选时间由比选方临时通知，响应文件递交截止时间以比选方临时通知为准。</w:t>
      </w:r>
      <w:bookmarkStart w:id="2" w:name="_GoBack"/>
      <w:bookmarkEnd w:id="2"/>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bCs/>
          <w:sz w:val="24"/>
          <w:szCs w:val="24"/>
        </w:rPr>
        <w:t>八、联系人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w:t>
      </w:r>
      <w:r>
        <w:rPr>
          <w:rFonts w:hint="eastAsia"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sz w:val="24"/>
          <w:szCs w:val="24"/>
        </w:rPr>
        <w:t>业务部门联系人：黄老师       联系电话：023-</w:t>
      </w:r>
      <w:r>
        <w:rPr>
          <w:rFonts w:hint="eastAsia" w:cs="宋体" w:asciiTheme="minorEastAsia" w:hAnsiTheme="minorEastAsia" w:eastAsiaTheme="minorEastAsia"/>
          <w:color w:val="auto"/>
          <w:sz w:val="24"/>
          <w:szCs w:val="24"/>
          <w:lang w:val="en-US" w:eastAsia="zh-CN"/>
        </w:rPr>
        <w:t>81915021</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pStyle w:val="8"/>
        <w:spacing w:line="420" w:lineRule="exact"/>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val="0"/>
          <w:sz w:val="24"/>
          <w:szCs w:val="24"/>
        </w:rPr>
      </w:pPr>
      <w:r>
        <w:rPr>
          <w:rFonts w:hint="eastAsia" w:cs="宋体" w:asciiTheme="minorEastAsia" w:hAnsiTheme="minorEastAsia" w:eastAsiaTheme="minorEastAsia"/>
          <w:b/>
          <w:bCs w:val="0"/>
          <w:sz w:val="24"/>
          <w:szCs w:val="24"/>
        </w:rPr>
        <w:t>第二章</w:t>
      </w:r>
      <w:r>
        <w:rPr>
          <w:rFonts w:cs="宋体" w:asciiTheme="minorEastAsia" w:hAnsiTheme="minorEastAsia" w:eastAsiaTheme="minorEastAsia"/>
          <w:b/>
          <w:bCs w:val="0"/>
          <w:sz w:val="24"/>
          <w:szCs w:val="24"/>
        </w:rPr>
        <w:t xml:space="preserve">  </w:t>
      </w:r>
      <w:r>
        <w:rPr>
          <w:rFonts w:hint="eastAsia" w:cs="宋体" w:asciiTheme="minorEastAsia" w:hAnsiTheme="minorEastAsia" w:eastAsiaTheme="minorEastAsia"/>
          <w:b/>
          <w:bCs w:val="0"/>
          <w:sz w:val="24"/>
          <w:szCs w:val="24"/>
        </w:rPr>
        <w:t>响应人须知</w:t>
      </w:r>
    </w:p>
    <w:p>
      <w:pPr>
        <w:spacing w:line="420" w:lineRule="exact"/>
        <w:jc w:val="left"/>
        <w:rPr>
          <w:rFonts w:cs="宋体" w:asciiTheme="minorEastAsia" w:hAnsiTheme="minorEastAsia" w:eastAsiaTheme="minorEastAsia"/>
          <w:bCs/>
          <w:sz w:val="24"/>
          <w:szCs w:val="24"/>
        </w:rPr>
      </w:pPr>
    </w:p>
    <w:p>
      <w:pPr>
        <w:numPr>
          <w:ilvl w:val="0"/>
          <w:numId w:val="1"/>
        </w:num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重钢总医院内镜中心胃肠镜维保项目</w:t>
      </w:r>
    </w:p>
    <w:p>
      <w:pPr>
        <w:spacing w:line="420" w:lineRule="exact"/>
        <w:ind w:firstLine="480" w:firstLineChars="200"/>
        <w:rPr>
          <w:rFonts w:ascii="宋体" w:hAnsi="宋体"/>
          <w:sz w:val="24"/>
          <w:szCs w:val="24"/>
        </w:rPr>
      </w:pPr>
      <w:r>
        <w:rPr>
          <w:rFonts w:hint="eastAsia" w:ascii="宋体" w:hAnsi="宋体" w:cs="宋体"/>
          <w:bCs/>
          <w:sz w:val="24"/>
          <w:szCs w:val="24"/>
        </w:rPr>
        <w:t>二、比选报价、限价、评分说明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80" w:lineRule="exact"/>
        <w:ind w:firstLine="480" w:firstLineChars="200"/>
        <w:rPr>
          <w:rFonts w:ascii="宋体" w:hAnsi="宋体" w:cs="宋体"/>
          <w:sz w:val="24"/>
          <w:szCs w:val="24"/>
        </w:rPr>
      </w:pPr>
      <w:r>
        <w:rPr>
          <w:rFonts w:hint="eastAsia" w:ascii="宋体" w:hAnsi="宋体" w:cs="宋体"/>
          <w:sz w:val="24"/>
          <w:szCs w:val="24"/>
        </w:rPr>
        <w:t>响应文件中仅存在唯一报价，以总价报价的形式进行报价，报价单位为元，报价最多保留小数点后两位。本项目实行总价包干的原则，在项目实施过程中中选人不得以任何理由增加本比选项目的费用，响应人自行考虑各种风险。响应人报价包含产品、第三方接口等所有费用。</w:t>
      </w:r>
      <w:r>
        <w:rPr>
          <w:rFonts w:ascii="宋体" w:hAnsi="宋体" w:cs="宋体"/>
          <w:sz w:val="24"/>
          <w:szCs w:val="24"/>
        </w:rPr>
        <w:t>大写金额与小写金额不一致的，以大写金额为准</w:t>
      </w:r>
      <w:r>
        <w:rPr>
          <w:rFonts w:hint="eastAsia" w:ascii="宋体" w:hAnsi="宋体" w:cs="宋体"/>
          <w:sz w:val="24"/>
          <w:szCs w:val="24"/>
        </w:rPr>
        <w:t>。</w:t>
      </w:r>
      <w:r>
        <w:rPr>
          <w:rFonts w:ascii="宋体" w:hAnsi="宋体" w:cs="宋体"/>
          <w:sz w:val="24"/>
          <w:szCs w:val="24"/>
        </w:rPr>
        <w:t>合同签订后原则上比选人不做费用调整。</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（二）限价说明：本项目只设置总价最高限价，最高</w:t>
      </w:r>
      <w:r>
        <w:rPr>
          <w:rFonts w:hint="eastAsia" w:ascii="宋体" w:hAnsi="宋体" w:cs="宋体"/>
          <w:color w:val="auto"/>
          <w:sz w:val="24"/>
          <w:szCs w:val="24"/>
        </w:rPr>
        <w:t>限价为</w:t>
      </w:r>
      <w:r>
        <w:rPr>
          <w:rFonts w:hint="eastAsia" w:ascii="宋体" w:hAnsi="宋体" w:cs="宋体"/>
          <w:color w:val="auto"/>
          <w:sz w:val="24"/>
          <w:szCs w:val="24"/>
          <w:u w:val="single"/>
          <w:lang w:val="en-US" w:eastAsia="zh-CN"/>
        </w:rPr>
        <w:t xml:space="preserve">  409000  </w:t>
      </w:r>
      <w:r>
        <w:rPr>
          <w:rFonts w:ascii="宋体" w:hAnsi="宋体" w:cs="宋体"/>
          <w:bCs/>
          <w:color w:val="auto"/>
          <w:sz w:val="24"/>
          <w:szCs w:val="24"/>
        </w:rPr>
        <w:t>元</w:t>
      </w:r>
      <w:r>
        <w:rPr>
          <w:rFonts w:hint="eastAsia" w:ascii="宋体" w:hAnsi="宋体" w:cs="宋体"/>
          <w:bCs/>
          <w:color w:val="auto"/>
          <w:sz w:val="24"/>
          <w:szCs w:val="24"/>
        </w:rPr>
        <w:t>（3年</w:t>
      </w:r>
      <w:r>
        <w:rPr>
          <w:rFonts w:hint="eastAsia" w:ascii="宋体" w:hAnsi="宋体" w:cs="宋体"/>
          <w:bCs/>
          <w:sz w:val="24"/>
          <w:szCs w:val="24"/>
        </w:rPr>
        <w:t>）</w:t>
      </w:r>
      <w:r>
        <w:rPr>
          <w:rFonts w:hint="eastAsia" w:ascii="宋体" w:hAnsi="宋体" w:cs="宋体"/>
          <w:sz w:val="24"/>
          <w:szCs w:val="24"/>
        </w:rPr>
        <w:t>，响应人的报价不得超过对应的最高限价，否则，响应文件将被视为无效。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r>
              <w:rPr>
                <w:rFonts w:hint="eastAsia" w:ascii="宋体" w:hAnsi="宋体"/>
              </w:rPr>
              <w:t xml:space="preserve"> </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bCs/>
                <w:color w:val="auto"/>
                <w:kern w:val="0"/>
                <w:lang w:val="en-US" w:eastAsia="zh-CN"/>
              </w:rPr>
              <w:t>维保</w:t>
            </w:r>
            <w:r>
              <w:rPr>
                <w:rFonts w:hint="eastAsia" w:ascii="宋体" w:hAnsi="宋体" w:cs="宋体"/>
                <w:bCs/>
                <w:color w:val="auto"/>
                <w:kern w:val="0"/>
              </w:rPr>
              <w:t>服务需求</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响应文件内容</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color w:val="auto"/>
                <w:lang w:val="en-US" w:eastAsia="zh-CN"/>
              </w:rPr>
            </w:pPr>
            <w:r>
              <w:rPr>
                <w:rFonts w:hint="eastAsia" w:ascii="宋体" w:hAnsi="宋体" w:cs="宋体"/>
                <w:color w:val="auto"/>
              </w:rPr>
              <w:t>对第三章维保服务</w:t>
            </w:r>
            <w:r>
              <w:rPr>
                <w:rFonts w:hint="eastAsia" w:ascii="宋体" w:hAnsi="宋体" w:cs="宋体"/>
                <w:color w:val="auto"/>
                <w:lang w:val="en-US" w:eastAsia="zh-CN"/>
              </w:rPr>
              <w:t>需求作出响应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．评审原则：综合评分法。满足比选文件要求，</w:t>
      </w:r>
      <w:r>
        <w:rPr>
          <w:rFonts w:hint="eastAsia" w:ascii="宋体" w:hAnsi="宋体" w:cs="宋体"/>
          <w:bCs/>
          <w:sz w:val="24"/>
          <w:szCs w:val="24"/>
        </w:rPr>
        <w:t>按最终评分高低进行排序推荐中选人，若得分相同，则以商务部分得分高低排序，商务部分得分也一样的，则以技术部分得分高低排序，技术部分得分也一样的，则由评审小组投票决定</w:t>
      </w:r>
      <w:r>
        <w:rPr>
          <w:rFonts w:hint="eastAsia" w:ascii="宋体" w:hAnsi="宋体" w:cs="宋体"/>
          <w:sz w:val="24"/>
          <w:szCs w:val="24"/>
        </w:rPr>
        <w:t>。凡参加本次比选的响应人均被视为接受上述项目的比选条款。</w:t>
      </w:r>
    </w:p>
    <w:p>
      <w:pPr>
        <w:spacing w:line="420" w:lineRule="exact"/>
        <w:ind w:firstLine="480" w:firstLineChars="200"/>
        <w:rPr>
          <w:rFonts w:ascii="宋体" w:hAnsi="宋体" w:cs="宋体"/>
          <w:sz w:val="24"/>
          <w:szCs w:val="24"/>
        </w:rPr>
      </w:pPr>
      <w:r>
        <w:rPr>
          <w:rFonts w:hint="eastAsia" w:ascii="宋体" w:hAnsi="宋体" w:cs="宋体"/>
          <w:sz w:val="24"/>
          <w:szCs w:val="24"/>
        </w:rPr>
        <w:t xml:space="preserve">3．评分说明：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378" w:type="dxa"/>
            <w:vAlign w:val="center"/>
          </w:tcPr>
          <w:p>
            <w:pPr>
              <w:jc w:val="center"/>
              <w:rPr>
                <w:rFonts w:hint="eastAsia" w:ascii="宋体" w:hAnsi="宋体" w:eastAsia="宋体" w:cs="宋体"/>
              </w:rPr>
            </w:pPr>
            <w:r>
              <w:rPr>
                <w:rFonts w:hint="eastAsia" w:ascii="宋体" w:hAnsi="宋体" w:eastAsia="宋体" w:cs="宋体"/>
              </w:rPr>
              <w:t>评审因素</w:t>
            </w:r>
          </w:p>
        </w:tc>
        <w:tc>
          <w:tcPr>
            <w:tcW w:w="6488" w:type="dxa"/>
            <w:vAlign w:val="center"/>
          </w:tcPr>
          <w:p>
            <w:pPr>
              <w:jc w:val="center"/>
              <w:rPr>
                <w:rFonts w:hint="eastAsia" w:ascii="宋体" w:hAnsi="宋体" w:eastAsia="宋体" w:cs="宋体"/>
              </w:rPr>
            </w:pPr>
            <w:r>
              <w:rPr>
                <w:rFonts w:hint="eastAsia" w:ascii="宋体" w:hAnsi="宋体" w:eastAsia="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78" w:type="dxa"/>
            <w:vAlign w:val="center"/>
          </w:tcPr>
          <w:p>
            <w:pPr>
              <w:jc w:val="left"/>
              <w:rPr>
                <w:rFonts w:hint="eastAsia" w:ascii="宋体" w:hAnsi="宋体" w:eastAsia="宋体" w:cs="宋体"/>
              </w:rPr>
            </w:pPr>
            <w:r>
              <w:rPr>
                <w:rFonts w:hint="eastAsia" w:ascii="宋体" w:hAnsi="宋体" w:eastAsia="宋体" w:cs="宋体"/>
              </w:rPr>
              <w:t>分值构成 (总分1OO分)</w:t>
            </w:r>
          </w:p>
        </w:tc>
        <w:tc>
          <w:tcPr>
            <w:tcW w:w="6488" w:type="dxa"/>
            <w:vAlign w:val="center"/>
          </w:tcPr>
          <w:p>
            <w:pPr>
              <w:rPr>
                <w:rFonts w:hint="eastAsia" w:ascii="宋体" w:hAnsi="宋体" w:eastAsia="宋体" w:cs="宋体"/>
              </w:rPr>
            </w:pPr>
            <w:r>
              <w:rPr>
                <w:rFonts w:hint="eastAsia" w:ascii="宋体" w:hAnsi="宋体" w:eastAsia="宋体" w:cs="宋体"/>
              </w:rPr>
              <w:t>比选总报价得分</w:t>
            </w:r>
            <w:r>
              <w:rPr>
                <w:rFonts w:hint="eastAsia" w:ascii="宋体" w:hAnsi="宋体" w:eastAsia="宋体" w:cs="宋体"/>
                <w:u w:val="single"/>
              </w:rPr>
              <w:t>　30　</w:t>
            </w:r>
            <w:r>
              <w:rPr>
                <w:rFonts w:hint="eastAsia" w:ascii="宋体" w:hAnsi="宋体" w:eastAsia="宋体" w:cs="宋体"/>
              </w:rPr>
              <w:t>分；</w:t>
            </w:r>
          </w:p>
          <w:p>
            <w:pPr>
              <w:rPr>
                <w:rFonts w:hint="eastAsia" w:ascii="宋体" w:hAnsi="宋体" w:eastAsia="宋体" w:cs="宋体"/>
              </w:rPr>
            </w:pPr>
            <w:r>
              <w:rPr>
                <w:rFonts w:hint="eastAsia" w:ascii="宋体" w:hAnsi="宋体" w:eastAsia="宋体" w:cs="宋体"/>
              </w:rPr>
              <w:t>技术部分得分</w:t>
            </w:r>
            <w:r>
              <w:rPr>
                <w:rFonts w:hint="eastAsia" w:ascii="宋体" w:hAnsi="宋体" w:eastAsia="宋体" w:cs="宋体"/>
                <w:u w:val="single"/>
              </w:rPr>
              <w:t xml:space="preserve">  </w:t>
            </w:r>
            <w:r>
              <w:rPr>
                <w:rFonts w:hint="eastAsia" w:ascii="宋体" w:hAnsi="宋体" w:eastAsia="宋体" w:cs="宋体"/>
                <w:u w:val="single"/>
                <w:lang w:val="en-US" w:eastAsia="zh-CN"/>
              </w:rPr>
              <w:t>60</w:t>
            </w:r>
            <w:r>
              <w:rPr>
                <w:rFonts w:hint="eastAsia" w:ascii="宋体" w:hAnsi="宋体" w:eastAsia="宋体" w:cs="宋体"/>
                <w:u w:val="single"/>
              </w:rPr>
              <w:t xml:space="preserve">  </w:t>
            </w:r>
            <w:r>
              <w:rPr>
                <w:rFonts w:hint="eastAsia" w:ascii="宋体" w:hAnsi="宋体" w:eastAsia="宋体" w:cs="宋体"/>
              </w:rPr>
              <w:t>分；</w:t>
            </w:r>
          </w:p>
          <w:p>
            <w:pPr>
              <w:rPr>
                <w:rFonts w:hint="eastAsia" w:ascii="宋体" w:hAnsi="宋体" w:eastAsia="宋体" w:cs="宋体"/>
              </w:rPr>
            </w:pPr>
            <w:r>
              <w:rPr>
                <w:rFonts w:hint="eastAsia" w:ascii="宋体" w:hAnsi="宋体" w:eastAsia="宋体" w:cs="宋体"/>
              </w:rPr>
              <w:t>商务部分得分</w:t>
            </w:r>
            <w:r>
              <w:rPr>
                <w:rFonts w:hint="eastAsia" w:ascii="宋体" w:hAnsi="宋体" w:eastAsia="宋体" w:cs="宋体"/>
                <w:u w:val="single"/>
              </w:rPr>
              <w:t xml:space="preserve">  </w:t>
            </w:r>
            <w:r>
              <w:rPr>
                <w:rFonts w:hint="eastAsia" w:ascii="宋体" w:hAnsi="宋体" w:eastAsia="宋体" w:cs="宋体"/>
                <w:u w:val="single"/>
                <w:lang w:val="en-US" w:eastAsia="zh-CN"/>
              </w:rPr>
              <w:t>10</w:t>
            </w:r>
            <w:r>
              <w:rPr>
                <w:rFonts w:hint="eastAsia" w:ascii="宋体" w:hAnsi="宋体" w:eastAsia="宋体" w:cs="宋体"/>
                <w:u w:val="single"/>
              </w:rPr>
              <w:t xml:space="preserve">  </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jc w:val="left"/>
              <w:rPr>
                <w:rFonts w:hint="eastAsia" w:ascii="宋体" w:hAnsi="宋体" w:eastAsia="宋体" w:cs="宋体"/>
              </w:rPr>
            </w:pPr>
            <w:r>
              <w:rPr>
                <w:rFonts w:hint="eastAsia" w:ascii="宋体" w:hAnsi="宋体" w:eastAsia="宋体" w:cs="宋体"/>
              </w:rPr>
              <w:t>评审基准价计算方法</w:t>
            </w:r>
          </w:p>
        </w:tc>
        <w:tc>
          <w:tcPr>
            <w:tcW w:w="6488" w:type="dxa"/>
            <w:vAlign w:val="center"/>
          </w:tcPr>
          <w:p>
            <w:pPr>
              <w:widowControl/>
              <w:jc w:val="left"/>
              <w:textAlignment w:val="center"/>
              <w:rPr>
                <w:rFonts w:hint="eastAsia" w:ascii="宋体" w:hAnsi="宋体" w:eastAsia="宋体" w:cs="宋体"/>
              </w:rPr>
            </w:pPr>
            <w:r>
              <w:rPr>
                <w:rFonts w:hint="eastAsia" w:ascii="宋体" w:hAnsi="宋体" w:eastAsia="宋体" w:cs="宋体"/>
              </w:rPr>
              <w:t>有效的比选报价中的算数平均值为评审基准价</w:t>
            </w:r>
            <w:r>
              <w:rPr>
                <w:rFonts w:hint="eastAsia" w:ascii="宋体" w:hAnsi="宋体" w:eastAsia="宋体" w:cs="宋体"/>
              </w:rPr>
              <w:br w:type="textWrapping"/>
            </w:r>
            <w:r>
              <w:rPr>
                <w:rFonts w:hint="eastAsia" w:ascii="宋体" w:hAnsi="宋体" w:eastAsia="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jc w:val="left"/>
              <w:rPr>
                <w:rFonts w:hint="eastAsia" w:ascii="宋体" w:hAnsi="宋体" w:eastAsia="宋体" w:cs="宋体"/>
              </w:rPr>
            </w:pPr>
            <w:r>
              <w:rPr>
                <w:rFonts w:hint="eastAsia" w:ascii="宋体" w:hAnsi="宋体" w:eastAsia="宋体" w:cs="宋体"/>
              </w:rPr>
              <w:t>比选报价得分（30分）</w:t>
            </w:r>
          </w:p>
        </w:tc>
        <w:tc>
          <w:tcPr>
            <w:tcW w:w="6488" w:type="dxa"/>
            <w:vAlign w:val="center"/>
          </w:tcPr>
          <w:p>
            <w:pPr>
              <w:pStyle w:val="8"/>
              <w:jc w:val="left"/>
              <w:rPr>
                <w:rFonts w:hint="eastAsia" w:ascii="宋体" w:hAnsi="宋体" w:eastAsia="宋体" w:cs="宋体"/>
                <w:sz w:val="21"/>
                <w:szCs w:val="21"/>
              </w:rPr>
            </w:pPr>
            <w:r>
              <w:rPr>
                <w:rFonts w:hint="eastAsia" w:ascii="宋体" w:hAnsi="宋体" w:eastAsia="宋体" w:cs="宋体"/>
                <w:sz w:val="21"/>
                <w:szCs w:val="21"/>
              </w:rPr>
              <w:t>比选报价得分=</w:t>
            </w:r>
            <w:r>
              <w:rPr>
                <w:rFonts w:hint="eastAsia" w:ascii="宋体" w:hAnsi="宋体" w:eastAsia="宋体" w:cs="宋体"/>
                <w:position w:val="-32"/>
                <w:sz w:val="21"/>
                <w:szCs w:val="21"/>
              </w:rPr>
              <w:object>
                <v:shape id="_x0000_i1025" o:spt="75" type="#_x0000_t75" style="height:38.25pt;width:212.2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widowControl/>
              <w:jc w:val="left"/>
              <w:textAlignment w:val="center"/>
              <w:rPr>
                <w:rFonts w:hint="eastAsia" w:ascii="宋体" w:hAnsi="宋体" w:eastAsia="宋体" w:cs="宋体"/>
              </w:rPr>
            </w:pPr>
            <w:r>
              <w:rPr>
                <w:rFonts w:hint="eastAsia" w:ascii="宋体" w:hAnsi="宋体" w:eastAsia="宋体" w:cs="宋体"/>
              </w:rPr>
              <w:t>以上计算取小数点后两位，小数点后第三位四舍五入。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rPr>
                <w:rFonts w:hint="eastAsia" w:ascii="宋体" w:hAnsi="宋体" w:eastAsia="宋体" w:cs="宋体"/>
              </w:rPr>
            </w:pPr>
            <w:r>
              <w:rPr>
                <w:rFonts w:hint="eastAsia" w:ascii="宋体" w:hAnsi="宋体" w:eastAsia="宋体" w:cs="宋体"/>
              </w:rPr>
              <w:t>技术部分得分（</w:t>
            </w:r>
            <w:r>
              <w:rPr>
                <w:rFonts w:hint="eastAsia" w:ascii="宋体" w:hAnsi="宋体" w:eastAsia="宋体" w:cs="宋体"/>
                <w:lang w:val="en-US" w:eastAsia="zh-CN"/>
              </w:rPr>
              <w:t>60</w:t>
            </w:r>
            <w:r>
              <w:rPr>
                <w:rFonts w:hint="eastAsia" w:ascii="宋体" w:hAnsi="宋体" w:eastAsia="宋体" w:cs="宋体"/>
              </w:rPr>
              <w:t>分）</w:t>
            </w:r>
          </w:p>
        </w:tc>
        <w:tc>
          <w:tcPr>
            <w:tcW w:w="6488"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1、维保服务需求（24分）</w:t>
            </w:r>
          </w:p>
          <w:p>
            <w:pPr>
              <w:rPr>
                <w:rFonts w:hint="eastAsia" w:ascii="宋体" w:hAnsi="宋体" w:eastAsia="宋体" w:cs="宋体"/>
                <w:sz w:val="21"/>
                <w:szCs w:val="21"/>
              </w:rPr>
            </w:pPr>
            <w:r>
              <w:rPr>
                <w:rFonts w:hint="eastAsia" w:ascii="宋体" w:hAnsi="宋体" w:eastAsia="宋体" w:cs="宋体"/>
                <w:sz w:val="21"/>
                <w:szCs w:val="21"/>
              </w:rPr>
              <w:t>完全满足维保服务</w:t>
            </w:r>
            <w:r>
              <w:rPr>
                <w:rFonts w:hint="eastAsia" w:ascii="宋体" w:hAnsi="宋体" w:eastAsia="宋体" w:cs="宋体"/>
                <w:sz w:val="21"/>
                <w:szCs w:val="21"/>
                <w:lang w:val="en-US" w:eastAsia="zh-CN"/>
              </w:rPr>
              <w:t>需求</w:t>
            </w:r>
            <w:r>
              <w:rPr>
                <w:rFonts w:hint="eastAsia" w:ascii="宋体" w:hAnsi="宋体" w:eastAsia="宋体" w:cs="宋体"/>
                <w:sz w:val="21"/>
                <w:szCs w:val="21"/>
              </w:rPr>
              <w:t>的所有条款得</w:t>
            </w:r>
            <w:r>
              <w:rPr>
                <w:rFonts w:hint="eastAsia" w:ascii="宋体" w:hAnsi="宋体" w:eastAsia="宋体" w:cs="宋体"/>
                <w:sz w:val="21"/>
                <w:szCs w:val="21"/>
                <w:lang w:val="en-US" w:eastAsia="zh-CN"/>
              </w:rPr>
              <w:t>24</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重要技术参数（带★部分）有一条不满足的，</w:t>
            </w:r>
            <w:r>
              <w:rPr>
                <w:rFonts w:hint="eastAsia" w:ascii="宋体" w:hAnsi="宋体" w:eastAsia="宋体" w:cs="宋体"/>
                <w:sz w:val="21"/>
                <w:szCs w:val="21"/>
                <w:lang w:val="en-US" w:eastAsia="zh-CN"/>
              </w:rPr>
              <w:t>本项</w:t>
            </w:r>
            <w:r>
              <w:rPr>
                <w:rFonts w:hint="eastAsia" w:ascii="宋体" w:hAnsi="宋体" w:eastAsia="宋体" w:cs="宋体"/>
                <w:sz w:val="21"/>
                <w:szCs w:val="21"/>
              </w:rPr>
              <w:t>得分为0分。一般性</w:t>
            </w:r>
            <w:r>
              <w:rPr>
                <w:rFonts w:hint="eastAsia" w:ascii="宋体" w:hAnsi="宋体" w:eastAsia="宋体" w:cs="宋体"/>
                <w:sz w:val="21"/>
                <w:szCs w:val="21"/>
                <w:lang w:val="en-US" w:eastAsia="zh-CN"/>
              </w:rPr>
              <w:t>维保服务需求</w:t>
            </w:r>
            <w:r>
              <w:rPr>
                <w:rFonts w:hint="eastAsia" w:ascii="宋体" w:hAnsi="宋体" w:eastAsia="宋体" w:cs="宋体"/>
                <w:sz w:val="21"/>
                <w:szCs w:val="21"/>
              </w:rPr>
              <w:t>达不到</w:t>
            </w:r>
            <w:r>
              <w:rPr>
                <w:rFonts w:hint="eastAsia" w:ascii="宋体" w:hAnsi="宋体" w:eastAsia="宋体" w:cs="宋体"/>
                <w:sz w:val="21"/>
                <w:szCs w:val="21"/>
                <w:lang w:val="en-US" w:eastAsia="zh-CN"/>
              </w:rPr>
              <w:t>比选</w:t>
            </w:r>
            <w:r>
              <w:rPr>
                <w:rFonts w:hint="eastAsia" w:ascii="宋体" w:hAnsi="宋体" w:eastAsia="宋体" w:cs="宋体"/>
                <w:sz w:val="21"/>
                <w:szCs w:val="21"/>
                <w:lang w:eastAsia="zh-CN"/>
              </w:rPr>
              <w:t>文件</w:t>
            </w:r>
            <w:r>
              <w:rPr>
                <w:rFonts w:hint="eastAsia" w:ascii="宋体" w:hAnsi="宋体" w:eastAsia="宋体" w:cs="宋体"/>
                <w:sz w:val="21"/>
                <w:szCs w:val="21"/>
              </w:rPr>
              <w:t>要求的</w:t>
            </w:r>
            <w:r>
              <w:rPr>
                <w:rFonts w:hint="eastAsia" w:ascii="宋体" w:hAnsi="宋体" w:eastAsia="宋体" w:cs="宋体"/>
                <w:sz w:val="21"/>
                <w:szCs w:val="21"/>
                <w:lang w:eastAsia="zh-CN"/>
              </w:rPr>
              <w:t>，</w:t>
            </w:r>
            <w:r>
              <w:rPr>
                <w:rFonts w:hint="eastAsia" w:ascii="宋体" w:hAnsi="宋体" w:eastAsia="宋体" w:cs="宋体"/>
                <w:sz w:val="21"/>
                <w:szCs w:val="21"/>
              </w:rPr>
              <w:t>每负偏离一条从起评分中扣除</w:t>
            </w:r>
            <w:r>
              <w:rPr>
                <w:rFonts w:hint="eastAsia" w:ascii="宋体" w:hAnsi="宋体" w:eastAsia="宋体" w:cs="宋体"/>
                <w:sz w:val="21"/>
                <w:szCs w:val="21"/>
                <w:lang w:val="en-US" w:eastAsia="zh-CN"/>
              </w:rPr>
              <w:t>6</w:t>
            </w:r>
            <w:r>
              <w:rPr>
                <w:rFonts w:hint="eastAsia" w:ascii="宋体" w:hAnsi="宋体" w:eastAsia="宋体" w:cs="宋体"/>
                <w:sz w:val="21"/>
                <w:szCs w:val="21"/>
              </w:rPr>
              <w:t>分；扣完为止。响应人应对</w:t>
            </w:r>
            <w:r>
              <w:rPr>
                <w:rFonts w:hint="eastAsia" w:ascii="宋体" w:hAnsi="宋体" w:eastAsia="宋体" w:cs="宋体"/>
                <w:sz w:val="21"/>
                <w:szCs w:val="21"/>
                <w:lang w:val="en-US" w:eastAsia="zh-CN"/>
              </w:rPr>
              <w:t>每项维保服务需求</w:t>
            </w:r>
            <w:r>
              <w:rPr>
                <w:rFonts w:hint="eastAsia" w:ascii="宋体" w:hAnsi="宋体" w:eastAsia="宋体" w:cs="宋体"/>
                <w:sz w:val="21"/>
                <w:szCs w:val="21"/>
              </w:rPr>
              <w:t>逐一应对。</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提供备品响应时间（</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rPr>
                <w:rFonts w:hint="eastAsia" w:ascii="宋体" w:hAnsi="宋体" w:eastAsia="宋体" w:cs="宋体"/>
                <w:b w:val="0"/>
                <w:bCs w:val="0"/>
                <w:sz w:val="21"/>
                <w:szCs w:val="21"/>
              </w:rPr>
            </w:pPr>
            <w:r>
              <w:rPr>
                <w:rFonts w:hint="eastAsia" w:ascii="宋体" w:hAnsi="宋体" w:eastAsia="宋体" w:cs="宋体"/>
                <w:sz w:val="21"/>
                <w:szCs w:val="21"/>
                <w:lang w:val="en-US" w:eastAsia="zh-CN"/>
              </w:rPr>
              <w:t>评审小组依据响应人</w:t>
            </w:r>
            <w:r>
              <w:rPr>
                <w:rFonts w:hint="eastAsia" w:ascii="宋体" w:hAnsi="宋体" w:eastAsia="宋体" w:cs="宋体"/>
                <w:sz w:val="21"/>
                <w:szCs w:val="21"/>
              </w:rPr>
              <w:t>提供备品响应时间</w:t>
            </w:r>
            <w:r>
              <w:rPr>
                <w:rFonts w:hint="eastAsia" w:ascii="宋体" w:hAnsi="宋体" w:eastAsia="宋体" w:cs="宋体"/>
                <w:sz w:val="21"/>
                <w:szCs w:val="21"/>
                <w:lang w:val="en-US" w:eastAsia="zh-CN"/>
              </w:rPr>
              <w:t>的优劣程度</w:t>
            </w:r>
            <w:r>
              <w:rPr>
                <w:rFonts w:hint="eastAsia" w:ascii="宋体" w:hAnsi="宋体" w:eastAsia="宋体" w:cs="宋体"/>
                <w:sz w:val="21"/>
                <w:szCs w:val="21"/>
              </w:rPr>
              <w:t>进行评分，优得</w:t>
            </w:r>
            <w:r>
              <w:rPr>
                <w:rFonts w:hint="eastAsia" w:ascii="宋体" w:hAnsi="宋体" w:eastAsia="宋体" w:cs="宋体"/>
                <w:sz w:val="21"/>
                <w:szCs w:val="21"/>
                <w:lang w:val="en-US" w:eastAsia="zh-CN"/>
              </w:rPr>
              <w:t>5</w:t>
            </w:r>
            <w:r>
              <w:rPr>
                <w:rFonts w:hint="eastAsia" w:ascii="宋体" w:hAnsi="宋体" w:eastAsia="宋体" w:cs="宋体"/>
                <w:sz w:val="21"/>
                <w:szCs w:val="21"/>
              </w:rPr>
              <w:t>分、良得</w:t>
            </w:r>
            <w:r>
              <w:rPr>
                <w:rFonts w:hint="eastAsia" w:ascii="宋体" w:hAnsi="宋体" w:eastAsia="宋体" w:cs="宋体"/>
                <w:sz w:val="21"/>
                <w:szCs w:val="21"/>
                <w:lang w:val="en-US" w:eastAsia="zh-CN"/>
              </w:rPr>
              <w:t>3</w:t>
            </w:r>
            <w:r>
              <w:rPr>
                <w:rFonts w:hint="eastAsia" w:ascii="宋体" w:hAnsi="宋体" w:eastAsia="宋体" w:cs="宋体"/>
                <w:sz w:val="21"/>
                <w:szCs w:val="21"/>
              </w:rPr>
              <w:t>分、一般</w:t>
            </w:r>
            <w:r>
              <w:rPr>
                <w:rFonts w:hint="eastAsia" w:ascii="宋体" w:hAnsi="宋体" w:eastAsia="宋体" w:cs="宋体"/>
                <w:sz w:val="21"/>
                <w:szCs w:val="21"/>
                <w:lang w:val="en-US" w:eastAsia="zh-CN"/>
              </w:rPr>
              <w:t>1</w:t>
            </w:r>
            <w:r>
              <w:rPr>
                <w:rFonts w:hint="eastAsia" w:ascii="宋体" w:hAnsi="宋体" w:eastAsia="宋体" w:cs="宋体"/>
                <w:sz w:val="21"/>
                <w:szCs w:val="21"/>
              </w:rPr>
              <w:t>得分，差</w:t>
            </w:r>
            <w:r>
              <w:rPr>
                <w:rFonts w:hint="eastAsia" w:ascii="宋体" w:hAnsi="宋体" w:eastAsia="宋体" w:cs="宋体"/>
                <w:b w:val="0"/>
                <w:bCs w:val="0"/>
                <w:sz w:val="21"/>
                <w:szCs w:val="21"/>
                <w:lang w:val="en-US" w:eastAsia="zh-CN"/>
              </w:rPr>
              <w:t>或未明确</w:t>
            </w:r>
            <w:r>
              <w:rPr>
                <w:rFonts w:hint="eastAsia" w:ascii="宋体" w:hAnsi="宋体" w:eastAsia="宋体" w:cs="宋体"/>
                <w:b w:val="0"/>
                <w:bCs w:val="0"/>
                <w:sz w:val="21"/>
                <w:szCs w:val="21"/>
              </w:rPr>
              <w:t>不得分。</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、提供备品的品质（</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分）</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评审小组</w:t>
            </w:r>
            <w:r>
              <w:rPr>
                <w:rFonts w:hint="eastAsia" w:ascii="宋体" w:hAnsi="宋体" w:eastAsia="宋体" w:cs="宋体"/>
                <w:color w:val="auto"/>
                <w:sz w:val="21"/>
                <w:szCs w:val="21"/>
              </w:rPr>
              <w:t>依据响应人提供备品品质</w:t>
            </w:r>
            <w:r>
              <w:rPr>
                <w:rFonts w:hint="eastAsia" w:ascii="宋体" w:hAnsi="宋体" w:eastAsia="宋体" w:cs="宋体"/>
                <w:color w:val="auto"/>
                <w:sz w:val="21"/>
                <w:szCs w:val="21"/>
                <w:lang w:val="en-US" w:eastAsia="zh-CN"/>
              </w:rPr>
              <w:t>的优劣程度</w:t>
            </w:r>
            <w:r>
              <w:rPr>
                <w:rFonts w:hint="eastAsia" w:ascii="宋体" w:hAnsi="宋体" w:eastAsia="宋体" w:cs="宋体"/>
                <w:color w:val="auto"/>
                <w:sz w:val="21"/>
                <w:szCs w:val="21"/>
              </w:rPr>
              <w:t>进行评分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优得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分、良得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分、一般</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得分，差</w:t>
            </w:r>
            <w:r>
              <w:rPr>
                <w:rFonts w:hint="eastAsia" w:ascii="宋体" w:hAnsi="宋体" w:eastAsia="宋体" w:cs="宋体"/>
                <w:color w:val="auto"/>
                <w:sz w:val="21"/>
                <w:szCs w:val="21"/>
                <w:lang w:val="en-US" w:eastAsia="zh-CN"/>
              </w:rPr>
              <w:t>或未明确</w:t>
            </w:r>
            <w:r>
              <w:rPr>
                <w:rFonts w:hint="eastAsia" w:ascii="宋体" w:hAnsi="宋体" w:eastAsia="宋体" w:cs="宋体"/>
                <w:color w:val="auto"/>
                <w:sz w:val="21"/>
                <w:szCs w:val="21"/>
              </w:rPr>
              <w:t>不得分。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4、维保质量保证（5分）</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采用原厂全新配件和工艺进行部件级更换方式维修，得5分。采用兼容配件和工艺进行部件级更换方式维修的，不得分。</w:t>
            </w:r>
          </w:p>
          <w:p>
            <w:pPr>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、维保</w:t>
            </w:r>
            <w:r>
              <w:rPr>
                <w:rFonts w:hint="eastAsia" w:ascii="宋体" w:hAnsi="宋体" w:eastAsia="宋体" w:cs="宋体"/>
                <w:sz w:val="21"/>
                <w:szCs w:val="21"/>
                <w:lang w:val="en-US" w:eastAsia="zh-CN"/>
              </w:rPr>
              <w:t>服务</w:t>
            </w:r>
            <w:r>
              <w:rPr>
                <w:rFonts w:hint="eastAsia" w:ascii="宋体" w:hAnsi="宋体" w:eastAsia="宋体" w:cs="宋体"/>
                <w:sz w:val="21"/>
                <w:szCs w:val="21"/>
              </w:rPr>
              <w:t>方案（</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pPr>
              <w:rPr>
                <w:rFonts w:hint="eastAsia" w:ascii="宋体" w:hAnsi="宋体" w:eastAsia="宋体" w:cs="宋体"/>
                <w:sz w:val="21"/>
                <w:szCs w:val="21"/>
              </w:rPr>
            </w:pPr>
            <w:r>
              <w:rPr>
                <w:rFonts w:hint="eastAsia" w:ascii="宋体" w:hAnsi="宋体" w:eastAsia="宋体" w:cs="宋体"/>
                <w:sz w:val="21"/>
                <w:szCs w:val="21"/>
                <w:lang w:val="en-US" w:eastAsia="zh-CN"/>
              </w:rPr>
              <w:t>服务方案包括但不限于人员培训、维保计划、应急措施等，评审小组依据提供维保服务方案的优劣程度进行评分。</w:t>
            </w:r>
            <w:r>
              <w:rPr>
                <w:rFonts w:hint="eastAsia" w:ascii="宋体" w:hAnsi="宋体" w:eastAsia="宋体" w:cs="宋体"/>
                <w:sz w:val="21"/>
                <w:szCs w:val="21"/>
              </w:rPr>
              <w:t>优</w:t>
            </w:r>
            <w:r>
              <w:rPr>
                <w:rFonts w:hint="eastAsia" w:ascii="宋体" w:hAnsi="宋体" w:eastAsia="宋体" w:cs="宋体"/>
                <w:sz w:val="21"/>
                <w:szCs w:val="21"/>
                <w:lang w:val="en-US" w:eastAsia="zh-CN"/>
              </w:rPr>
              <w:t>得11-15</w:t>
            </w:r>
            <w:r>
              <w:rPr>
                <w:rFonts w:hint="eastAsia" w:ascii="宋体" w:hAnsi="宋体" w:eastAsia="宋体" w:cs="宋体"/>
                <w:sz w:val="21"/>
                <w:szCs w:val="21"/>
              </w:rPr>
              <w:t>分，良</w:t>
            </w:r>
            <w:r>
              <w:rPr>
                <w:rFonts w:hint="eastAsia" w:ascii="宋体" w:hAnsi="宋体" w:eastAsia="宋体" w:cs="宋体"/>
                <w:sz w:val="21"/>
                <w:szCs w:val="21"/>
                <w:lang w:val="en-US" w:eastAsia="zh-CN"/>
              </w:rPr>
              <w:t>得6-</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分，一般</w:t>
            </w:r>
            <w:r>
              <w:rPr>
                <w:rFonts w:hint="eastAsia" w:ascii="宋体" w:hAnsi="宋体" w:eastAsia="宋体" w:cs="宋体"/>
                <w:sz w:val="21"/>
                <w:szCs w:val="21"/>
                <w:lang w:val="en-US" w:eastAsia="zh-CN"/>
              </w:rPr>
              <w:t>得</w:t>
            </w: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分，差</w:t>
            </w:r>
            <w:r>
              <w:rPr>
                <w:rFonts w:hint="eastAsia" w:ascii="宋体" w:hAnsi="宋体" w:eastAsia="宋体" w:cs="宋体"/>
                <w:sz w:val="21"/>
                <w:szCs w:val="21"/>
                <w:lang w:val="en-US" w:eastAsia="zh-CN"/>
              </w:rPr>
              <w:t>或未提供</w:t>
            </w:r>
            <w:r>
              <w:rPr>
                <w:rFonts w:hint="eastAsia" w:ascii="宋体" w:hAnsi="宋体" w:eastAsia="宋体" w:cs="宋体"/>
                <w:sz w:val="21"/>
                <w:szCs w:val="21"/>
              </w:rPr>
              <w:t>不得分。</w:t>
            </w:r>
          </w:p>
          <w:p>
            <w:pP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、维修、维保书面报告（</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rPr>
                <w:rFonts w:hint="eastAsia" w:ascii="宋体" w:hAnsi="宋体" w:eastAsia="宋体" w:cs="宋体"/>
              </w:rPr>
            </w:pPr>
            <w:r>
              <w:rPr>
                <w:rFonts w:hint="eastAsia" w:ascii="宋体" w:hAnsi="宋体" w:eastAsia="宋体" w:cs="宋体"/>
                <w:sz w:val="21"/>
                <w:szCs w:val="21"/>
              </w:rPr>
              <w:t>提供维修、维保书面报告样本，从报告的规范性、全面性、专业性三方面综合评判。优得</w:t>
            </w:r>
            <w:r>
              <w:rPr>
                <w:rFonts w:hint="eastAsia" w:ascii="宋体" w:hAnsi="宋体" w:eastAsia="宋体" w:cs="宋体"/>
                <w:sz w:val="21"/>
                <w:szCs w:val="21"/>
                <w:lang w:val="en-US" w:eastAsia="zh-CN"/>
              </w:rPr>
              <w:t>5</w:t>
            </w:r>
            <w:r>
              <w:rPr>
                <w:rFonts w:hint="eastAsia" w:ascii="宋体" w:hAnsi="宋体" w:eastAsia="宋体" w:cs="宋体"/>
                <w:sz w:val="21"/>
                <w:szCs w:val="21"/>
              </w:rPr>
              <w:t>分、良得</w:t>
            </w:r>
            <w:r>
              <w:rPr>
                <w:rFonts w:hint="eastAsia" w:ascii="宋体" w:hAnsi="宋体" w:eastAsia="宋体" w:cs="宋体"/>
                <w:sz w:val="21"/>
                <w:szCs w:val="21"/>
                <w:lang w:val="en-US" w:eastAsia="zh-CN"/>
              </w:rPr>
              <w:t>3</w:t>
            </w:r>
            <w:r>
              <w:rPr>
                <w:rFonts w:hint="eastAsia" w:ascii="宋体" w:hAnsi="宋体" w:eastAsia="宋体" w:cs="宋体"/>
                <w:sz w:val="21"/>
                <w:szCs w:val="21"/>
              </w:rPr>
              <w:t>分、一般得1分。差</w:t>
            </w:r>
            <w:r>
              <w:rPr>
                <w:rFonts w:hint="eastAsia" w:ascii="宋体" w:hAnsi="宋体" w:eastAsia="宋体" w:cs="宋体"/>
                <w:sz w:val="21"/>
                <w:szCs w:val="21"/>
                <w:lang w:val="en-US" w:eastAsia="zh-CN"/>
              </w:rPr>
              <w:t>或未提供</w:t>
            </w:r>
            <w:r>
              <w:rPr>
                <w:rFonts w:hint="eastAsia" w:ascii="宋体" w:hAnsi="宋体" w:eastAsia="宋体" w:cs="宋体"/>
                <w:sz w:val="21"/>
                <w:szCs w:val="21"/>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rPr>
                <w:rFonts w:hint="eastAsia" w:ascii="宋体" w:hAnsi="宋体" w:eastAsia="宋体" w:cs="宋体"/>
              </w:rPr>
            </w:pPr>
            <w:r>
              <w:rPr>
                <w:rFonts w:hint="eastAsia" w:ascii="宋体" w:hAnsi="宋体" w:eastAsia="宋体" w:cs="宋体"/>
              </w:rPr>
              <w:t>商务部分得分（</w:t>
            </w:r>
            <w:r>
              <w:rPr>
                <w:rFonts w:hint="eastAsia" w:ascii="宋体" w:hAnsi="宋体" w:eastAsia="宋体" w:cs="宋体"/>
                <w:lang w:val="en-US" w:eastAsia="zh-CN"/>
              </w:rPr>
              <w:t>10</w:t>
            </w:r>
            <w:r>
              <w:rPr>
                <w:rFonts w:hint="eastAsia" w:ascii="宋体" w:hAnsi="宋体" w:eastAsia="宋体" w:cs="宋体"/>
              </w:rPr>
              <w:t>分）</w:t>
            </w:r>
          </w:p>
        </w:tc>
        <w:tc>
          <w:tcPr>
            <w:tcW w:w="6488"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、业绩（</w:t>
            </w:r>
            <w:r>
              <w:rPr>
                <w:rFonts w:hint="eastAsia" w:ascii="宋体" w:hAnsi="宋体" w:eastAsia="宋体" w:cs="宋体"/>
                <w:sz w:val="21"/>
                <w:szCs w:val="21"/>
                <w:lang w:val="en-US" w:eastAsia="zh-CN"/>
              </w:rPr>
              <w:t>4</w:t>
            </w:r>
            <w:r>
              <w:rPr>
                <w:rFonts w:hint="eastAsia" w:ascii="宋体" w:hAnsi="宋体" w:eastAsia="宋体" w:cs="宋体"/>
                <w:sz w:val="21"/>
                <w:szCs w:val="21"/>
              </w:rPr>
              <w:t>分）</w:t>
            </w:r>
          </w:p>
          <w:p>
            <w:pPr>
              <w:rPr>
                <w:rFonts w:hint="eastAsia" w:ascii="宋体" w:hAnsi="宋体" w:eastAsia="宋体" w:cs="宋体"/>
                <w:sz w:val="21"/>
                <w:szCs w:val="21"/>
                <w:lang w:eastAsia="zh-CN"/>
              </w:rPr>
            </w:pPr>
            <w:r>
              <w:rPr>
                <w:rFonts w:hint="eastAsia" w:ascii="宋体" w:hAnsi="宋体" w:eastAsia="宋体" w:cs="宋体"/>
                <w:sz w:val="21"/>
                <w:szCs w:val="21"/>
              </w:rPr>
              <w:t>提供近</w:t>
            </w:r>
            <w:r>
              <w:rPr>
                <w:rFonts w:hint="eastAsia" w:ascii="宋体" w:hAnsi="宋体" w:eastAsia="宋体" w:cs="宋体"/>
                <w:sz w:val="21"/>
                <w:szCs w:val="21"/>
                <w:lang w:val="en-US" w:eastAsia="zh-CN"/>
              </w:rPr>
              <w:t>3</w:t>
            </w:r>
            <w:r>
              <w:rPr>
                <w:rFonts w:hint="eastAsia" w:ascii="宋体" w:hAnsi="宋体" w:eastAsia="宋体" w:cs="宋体"/>
                <w:sz w:val="21"/>
                <w:szCs w:val="21"/>
              </w:rPr>
              <w:t>年内同</w:t>
            </w:r>
            <w:r>
              <w:rPr>
                <w:rFonts w:hint="eastAsia" w:ascii="宋体" w:hAnsi="宋体" w:eastAsia="宋体" w:cs="宋体"/>
                <w:sz w:val="21"/>
                <w:szCs w:val="21"/>
                <w:lang w:val="en-US" w:eastAsia="zh-CN"/>
              </w:rPr>
              <w:t>类</w:t>
            </w:r>
            <w:r>
              <w:rPr>
                <w:rFonts w:hint="eastAsia" w:ascii="宋体" w:hAnsi="宋体" w:eastAsia="宋体" w:cs="宋体"/>
                <w:sz w:val="21"/>
                <w:szCs w:val="21"/>
              </w:rPr>
              <w:t>镜子的维保</w:t>
            </w:r>
            <w:r>
              <w:rPr>
                <w:rFonts w:hint="eastAsia" w:ascii="宋体" w:hAnsi="宋体" w:eastAsia="宋体" w:cs="宋体"/>
                <w:sz w:val="21"/>
                <w:szCs w:val="21"/>
                <w:lang w:val="en-US" w:eastAsia="zh-CN"/>
              </w:rPr>
              <w:t>或</w:t>
            </w:r>
            <w:r>
              <w:rPr>
                <w:rFonts w:hint="eastAsia" w:ascii="宋体" w:hAnsi="宋体" w:eastAsia="宋体" w:cs="宋体"/>
                <w:sz w:val="21"/>
                <w:szCs w:val="21"/>
              </w:rPr>
              <w:t>维修服务经历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每提供1个份得1分，最高得4分。</w:t>
            </w:r>
            <w:r>
              <w:rPr>
                <w:rFonts w:hint="eastAsia" w:ascii="宋体" w:hAnsi="宋体" w:eastAsia="宋体" w:cs="宋体"/>
                <w:sz w:val="21"/>
                <w:szCs w:val="21"/>
              </w:rPr>
              <w:t>提供维保</w:t>
            </w:r>
            <w:r>
              <w:rPr>
                <w:rFonts w:hint="eastAsia" w:ascii="宋体" w:hAnsi="宋体" w:eastAsia="宋体" w:cs="宋体"/>
                <w:sz w:val="21"/>
                <w:szCs w:val="21"/>
                <w:lang w:val="en-US" w:eastAsia="zh-CN"/>
              </w:rPr>
              <w:t>或维修</w:t>
            </w:r>
            <w:r>
              <w:rPr>
                <w:rFonts w:hint="eastAsia" w:ascii="宋体" w:hAnsi="宋体" w:eastAsia="宋体" w:cs="宋体"/>
                <w:sz w:val="21"/>
                <w:szCs w:val="21"/>
              </w:rPr>
              <w:t>合同复印件</w:t>
            </w:r>
            <w:r>
              <w:rPr>
                <w:rFonts w:hint="eastAsia" w:ascii="宋体" w:hAnsi="宋体" w:eastAsia="宋体" w:cs="宋体"/>
                <w:sz w:val="21"/>
                <w:szCs w:val="21"/>
                <w:lang w:val="en-US" w:eastAsia="zh-CN"/>
              </w:rPr>
              <w:t>并加该响应人公章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近3年是</w:t>
            </w:r>
            <w:r>
              <w:rPr>
                <w:rFonts w:hint="eastAsia" w:ascii="宋体" w:hAnsi="宋体" w:eastAsia="宋体" w:cs="宋体"/>
                <w:sz w:val="21"/>
                <w:szCs w:val="21"/>
                <w:lang w:eastAsia="zh-CN"/>
              </w:rPr>
              <w:t>指2021年1月1日至今）。</w:t>
            </w: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、维修、维保能力（</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rPr>
                <w:rFonts w:hint="eastAsia" w:ascii="宋体" w:hAnsi="宋体" w:eastAsia="宋体" w:cs="宋体"/>
                <w:sz w:val="21"/>
                <w:szCs w:val="21"/>
                <w:lang w:val="en-US" w:eastAsia="zh-CN"/>
              </w:rPr>
            </w:pPr>
            <w:r>
              <w:rPr>
                <w:rFonts w:hint="eastAsia" w:ascii="宋体" w:hAnsi="宋体" w:eastAsia="宋体" w:cs="宋体"/>
                <w:sz w:val="21"/>
                <w:szCs w:val="21"/>
              </w:rPr>
              <w:t>具备专业的维修场地及工具</w:t>
            </w:r>
            <w:r>
              <w:rPr>
                <w:rFonts w:hint="eastAsia" w:ascii="宋体" w:hAnsi="宋体" w:eastAsia="宋体" w:cs="宋体"/>
                <w:sz w:val="21"/>
                <w:szCs w:val="21"/>
                <w:lang w:val="en-US" w:eastAsia="zh-CN"/>
              </w:rPr>
              <w:t>的得</w:t>
            </w:r>
            <w:r>
              <w:rPr>
                <w:rFonts w:hint="eastAsia" w:ascii="宋体" w:hAnsi="宋体" w:eastAsia="宋体" w:cs="宋体"/>
                <w:sz w:val="21"/>
                <w:szCs w:val="21"/>
              </w:rPr>
              <w:t>3分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自行提供佐证资料。</w:t>
            </w:r>
          </w:p>
          <w:p>
            <w:pPr>
              <w:rPr>
                <w:rFonts w:hint="eastAsia" w:ascii="宋体" w:hAnsi="宋体" w:eastAsia="宋体" w:cs="宋体"/>
              </w:rPr>
            </w:pPr>
            <w:r>
              <w:rPr>
                <w:rFonts w:hint="eastAsia" w:ascii="宋体" w:hAnsi="宋体" w:eastAsia="宋体" w:cs="宋体"/>
                <w:sz w:val="21"/>
                <w:szCs w:val="21"/>
              </w:rPr>
              <w:t>维修</w:t>
            </w:r>
            <w:r>
              <w:rPr>
                <w:rFonts w:hint="eastAsia" w:ascii="宋体" w:hAnsi="宋体" w:eastAsia="宋体" w:cs="宋体"/>
                <w:sz w:val="21"/>
                <w:szCs w:val="21"/>
                <w:lang w:val="en-US" w:eastAsia="zh-CN"/>
              </w:rPr>
              <w:t>工程师具有</w:t>
            </w:r>
            <w:r>
              <w:rPr>
                <w:rFonts w:hint="eastAsia" w:ascii="宋体" w:hAnsi="宋体" w:eastAsia="宋体" w:cs="宋体"/>
                <w:sz w:val="21"/>
                <w:szCs w:val="21"/>
              </w:rPr>
              <w:t>原厂培训证书</w:t>
            </w:r>
            <w:r>
              <w:rPr>
                <w:rFonts w:hint="eastAsia" w:ascii="宋体" w:hAnsi="宋体" w:eastAsia="宋体" w:cs="宋体"/>
                <w:sz w:val="21"/>
                <w:szCs w:val="21"/>
                <w:lang w:val="en-US" w:eastAsia="zh-CN"/>
              </w:rPr>
              <w:t>的得</w:t>
            </w:r>
            <w:r>
              <w:rPr>
                <w:rFonts w:hint="eastAsia" w:ascii="宋体" w:hAnsi="宋体" w:eastAsia="宋体" w:cs="宋体"/>
                <w:sz w:val="21"/>
                <w:szCs w:val="21"/>
              </w:rPr>
              <w:t>3分</w:t>
            </w:r>
            <w:r>
              <w:rPr>
                <w:rFonts w:hint="eastAsia" w:ascii="宋体" w:hAnsi="宋体" w:eastAsia="宋体" w:cs="宋体"/>
                <w:sz w:val="21"/>
                <w:szCs w:val="21"/>
                <w:lang w:eastAsia="zh-CN"/>
              </w:rPr>
              <w:t>，提供在职工程师社保证明，证书复印件及身份证复印件。</w:t>
            </w:r>
          </w:p>
        </w:tc>
      </w:tr>
    </w:tbl>
    <w:p>
      <w:pPr>
        <w:spacing w:line="440" w:lineRule="exact"/>
        <w:ind w:firstLine="480" w:firstLineChars="200"/>
        <w:rPr>
          <w:rFonts w:ascii="宋体" w:cs="宋体"/>
          <w:bCs/>
          <w:sz w:val="24"/>
          <w:szCs w:val="24"/>
        </w:rPr>
      </w:pPr>
      <w:r>
        <w:rPr>
          <w:rFonts w:hint="eastAsia" w:ascii="宋体" w:hAnsi="宋体" w:cs="宋体"/>
          <w:bCs/>
          <w:sz w:val="24"/>
          <w:szCs w:val="24"/>
        </w:rPr>
        <w:t>三、响应人不足的情形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0" w:firstLineChars="200"/>
        <w:rPr>
          <w:rFonts w:ascii="宋体" w:cs="宋体"/>
          <w:sz w:val="24"/>
          <w:szCs w:val="24"/>
        </w:rPr>
      </w:pPr>
      <w:r>
        <w:rPr>
          <w:rFonts w:hint="eastAsia" w:ascii="宋体" w:hAnsi="宋体" w:cs="宋体"/>
          <w:bCs/>
          <w:sz w:val="24"/>
          <w:szCs w:val="24"/>
        </w:rPr>
        <w:t>四、比选有效期</w:t>
      </w:r>
      <w:r>
        <w:rPr>
          <w:rFonts w:hint="eastAsia" w:ascii="宋体" w:hAnsi="宋体" w:cs="宋体"/>
          <w:sz w:val="24"/>
          <w:szCs w:val="24"/>
        </w:rPr>
        <w:t>：90日历天。（从提交响应文件截止日起计算）</w:t>
      </w:r>
    </w:p>
    <w:p>
      <w:pPr>
        <w:spacing w:line="420" w:lineRule="exact"/>
        <w:ind w:firstLine="480" w:firstLineChars="200"/>
        <w:rPr>
          <w:rFonts w:hint="eastAsia" w:ascii="宋体" w:hAnsi="宋体" w:cs="宋体"/>
          <w:color w:val="auto"/>
          <w:sz w:val="24"/>
          <w:szCs w:val="24"/>
          <w:lang w:val="en-US" w:eastAsia="zh-CN"/>
        </w:rPr>
      </w:pPr>
      <w:r>
        <w:rPr>
          <w:rFonts w:hint="eastAsia" w:ascii="宋体" w:hAnsi="宋体" w:cs="宋体"/>
          <w:bCs/>
          <w:color w:val="auto"/>
          <w:sz w:val="24"/>
          <w:szCs w:val="24"/>
        </w:rPr>
        <w:t>五、付款方式</w:t>
      </w:r>
      <w:r>
        <w:rPr>
          <w:rFonts w:hint="eastAsia" w:ascii="宋体" w:hAnsi="宋体" w:cs="宋体"/>
          <w:sz w:val="24"/>
          <w:szCs w:val="24"/>
        </w:rPr>
        <w:t>：</w:t>
      </w:r>
      <w:r>
        <w:rPr>
          <w:rFonts w:hint="eastAsia" w:ascii="宋体" w:hAnsi="宋体" w:cs="宋体"/>
          <w:color w:val="auto"/>
          <w:sz w:val="24"/>
          <w:szCs w:val="24"/>
          <w:lang w:val="en-US" w:eastAsia="zh-CN"/>
        </w:rPr>
        <w:t>分3年6次支付，每服务6个月后次月支付，每次付款前维保方需要开具符合采购人要求的正规票据。</w:t>
      </w:r>
    </w:p>
    <w:p>
      <w:pPr>
        <w:spacing w:line="420" w:lineRule="exact"/>
        <w:ind w:firstLine="480" w:firstLineChars="200"/>
        <w:rPr>
          <w:rFonts w:ascii="宋体" w:cs="宋体"/>
          <w:sz w:val="24"/>
          <w:szCs w:val="24"/>
        </w:rPr>
      </w:pPr>
      <w:r>
        <w:rPr>
          <w:rFonts w:hint="eastAsia" w:ascii="宋体" w:hAnsi="宋体" w:cs="宋体"/>
          <w:bCs/>
          <w:sz w:val="24"/>
          <w:szCs w:val="24"/>
        </w:rPr>
        <w:t>六、响应文件的组成</w:t>
      </w:r>
      <w:r>
        <w:rPr>
          <w:rFonts w:hint="eastAsia" w:ascii="宋体" w:hAnsi="宋体" w:cs="宋体"/>
          <w:sz w:val="24"/>
          <w:szCs w:val="24"/>
        </w:rPr>
        <w:t>：</w:t>
      </w:r>
    </w:p>
    <w:p>
      <w:pPr>
        <w:spacing w:line="420" w:lineRule="exact"/>
        <w:ind w:firstLine="480" w:firstLineChars="200"/>
        <w:rPr>
          <w:rFonts w:ascii="宋体" w:hAnsi="宋体"/>
          <w:sz w:val="24"/>
          <w:szCs w:val="24"/>
        </w:rPr>
      </w:pPr>
      <w:bookmarkStart w:id="0" w:name="_Toc12789069"/>
      <w:bookmarkStart w:id="1" w:name="_Toc256249129"/>
      <w:r>
        <w:rPr>
          <w:rFonts w:hint="eastAsia" w:ascii="宋体" w:hAnsi="宋体"/>
          <w:sz w:val="24"/>
          <w:szCs w:val="24"/>
        </w:rPr>
        <w:t>响应函；</w:t>
      </w:r>
    </w:p>
    <w:p>
      <w:pPr>
        <w:spacing w:line="420" w:lineRule="exact"/>
        <w:ind w:firstLine="480" w:firstLineChars="200"/>
        <w:rPr>
          <w:rFonts w:ascii="宋体" w:hAnsi="宋体"/>
          <w:sz w:val="24"/>
          <w:szCs w:val="24"/>
        </w:rPr>
      </w:pPr>
      <w:r>
        <w:rPr>
          <w:rFonts w:hint="eastAsia" w:ascii="宋体" w:hAnsi="宋体"/>
          <w:sz w:val="24"/>
          <w:szCs w:val="24"/>
        </w:rPr>
        <w:t>法定代表人（主要负责人）身份证明及授权委托书；</w:t>
      </w:r>
    </w:p>
    <w:p>
      <w:pPr>
        <w:spacing w:line="420" w:lineRule="exact"/>
        <w:ind w:firstLine="480" w:firstLineChars="200"/>
        <w:rPr>
          <w:rFonts w:ascii="宋体" w:hAnsi="宋体"/>
          <w:sz w:val="24"/>
          <w:szCs w:val="24"/>
        </w:rPr>
      </w:pPr>
      <w:r>
        <w:rPr>
          <w:rFonts w:hint="eastAsia" w:ascii="宋体" w:hAnsi="宋体"/>
          <w:sz w:val="24"/>
          <w:szCs w:val="24"/>
        </w:rPr>
        <w:t>营业执照副本；</w:t>
      </w:r>
    </w:p>
    <w:p>
      <w:pPr>
        <w:spacing w:line="420" w:lineRule="exact"/>
        <w:ind w:firstLine="480" w:firstLineChars="200"/>
        <w:rPr>
          <w:rFonts w:ascii="宋体" w:hAnsi="宋体"/>
          <w:sz w:val="24"/>
          <w:szCs w:val="24"/>
        </w:rPr>
      </w:pPr>
      <w:r>
        <w:rPr>
          <w:rFonts w:hint="eastAsia" w:ascii="宋体" w:hAnsi="宋体"/>
          <w:sz w:val="24"/>
          <w:szCs w:val="24"/>
        </w:rPr>
        <w:t>技术部分；</w:t>
      </w:r>
    </w:p>
    <w:p>
      <w:pPr>
        <w:spacing w:line="420" w:lineRule="exact"/>
        <w:ind w:firstLine="480" w:firstLineChars="200"/>
        <w:rPr>
          <w:rFonts w:ascii="宋体" w:hAnsi="宋体"/>
          <w:sz w:val="24"/>
          <w:szCs w:val="24"/>
        </w:rPr>
      </w:pPr>
      <w:r>
        <w:rPr>
          <w:rFonts w:hint="eastAsia" w:ascii="宋体" w:hAnsi="宋体"/>
          <w:sz w:val="24"/>
          <w:szCs w:val="24"/>
        </w:rPr>
        <w:t>商务部分；</w:t>
      </w:r>
    </w:p>
    <w:p>
      <w:pPr>
        <w:spacing w:line="420" w:lineRule="exact"/>
        <w:ind w:firstLine="480" w:firstLineChars="200"/>
        <w:rPr>
          <w:rFonts w:ascii="宋体" w:hAnsi="宋体"/>
          <w:sz w:val="24"/>
          <w:szCs w:val="24"/>
        </w:rPr>
      </w:pPr>
      <w:r>
        <w:rPr>
          <w:rFonts w:hint="eastAsia" w:ascii="宋体" w:hAnsi="宋体"/>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0" w:firstLineChars="200"/>
        <w:rPr>
          <w:rFonts w:ascii="宋体"/>
          <w:sz w:val="24"/>
          <w:szCs w:val="24"/>
        </w:rPr>
      </w:pPr>
      <w:r>
        <w:rPr>
          <w:rFonts w:hint="eastAsia" w:ascii="宋体" w:hAnsi="宋体" w:cs="宋体"/>
          <w:bCs/>
          <w:sz w:val="24"/>
          <w:szCs w:val="24"/>
        </w:rPr>
        <w:t>七、合同的签订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0" w:firstLineChars="200"/>
        <w:rPr>
          <w:rFonts w:ascii="宋体" w:cs="宋体"/>
          <w:sz w:val="24"/>
          <w:szCs w:val="24"/>
        </w:rPr>
      </w:pPr>
      <w:r>
        <w:rPr>
          <w:rFonts w:hint="eastAsia" w:ascii="宋体" w:hAnsi="宋体" w:cs="宋体"/>
          <w:bCs/>
          <w:sz w:val="24"/>
          <w:szCs w:val="24"/>
        </w:rPr>
        <w:t>八、费用</w:t>
      </w:r>
      <w:r>
        <w:rPr>
          <w:rFonts w:hint="eastAsia" w:ascii="宋体" w:hAnsi="宋体" w:cs="宋体"/>
          <w:sz w:val="24"/>
          <w:szCs w:val="24"/>
        </w:rPr>
        <w:t>：不论比选结果如何，响应人自行承担与本次比选有关的所有费用。</w:t>
      </w:r>
    </w:p>
    <w:p>
      <w:pPr>
        <w:spacing w:line="440" w:lineRule="exact"/>
        <w:ind w:firstLine="480" w:firstLineChars="200"/>
        <w:rPr>
          <w:rFonts w:ascii="宋体" w:cs="宋体"/>
          <w:bCs/>
          <w:sz w:val="24"/>
          <w:szCs w:val="24"/>
        </w:rPr>
      </w:pPr>
      <w:r>
        <w:rPr>
          <w:rFonts w:hint="eastAsia" w:ascii="宋体" w:hAnsi="宋体" w:cs="宋体"/>
          <w:bCs/>
          <w:sz w:val="24"/>
          <w:szCs w:val="24"/>
        </w:rPr>
        <w:t>九、若响应人提供虚假材料将按作废处理。</w:t>
      </w:r>
    </w:p>
    <w:p>
      <w:pPr>
        <w:spacing w:line="440" w:lineRule="exact"/>
        <w:ind w:firstLine="480" w:firstLineChars="200"/>
        <w:rPr>
          <w:rFonts w:ascii="宋体" w:cs="宋体"/>
          <w:bCs/>
          <w:sz w:val="24"/>
          <w:szCs w:val="24"/>
        </w:rPr>
      </w:pPr>
      <w:r>
        <w:rPr>
          <w:rFonts w:hint="eastAsia" w:ascii="宋体" w:hAnsi="宋体" w:cs="宋体"/>
          <w:bCs/>
          <w:sz w:val="24"/>
          <w:szCs w:val="24"/>
        </w:rPr>
        <w:t>十、如有未尽事宜，最终解释权在比选方。</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
    <w:p/>
    <w:p/>
    <w:p/>
    <w:p>
      <w:pPr>
        <w:pStyle w:val="16"/>
      </w:pPr>
    </w:p>
    <w:p>
      <w:pPr>
        <w:pStyle w:val="16"/>
      </w:pPr>
    </w:p>
    <w:p>
      <w:pPr>
        <w:pStyle w:val="16"/>
      </w:pPr>
    </w:p>
    <w:p>
      <w:pPr>
        <w:pStyle w:val="16"/>
      </w:pPr>
    </w:p>
    <w:p>
      <w:pPr>
        <w:pStyle w:val="16"/>
      </w:pPr>
    </w:p>
    <w:p>
      <w:pPr>
        <w:pStyle w:val="16"/>
      </w:pPr>
    </w:p>
    <w:p>
      <w:pPr>
        <w:pStyle w:val="16"/>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rPr>
        <w:t xml:space="preserve">第三章  </w:t>
      </w:r>
      <w:r>
        <w:rPr>
          <w:rFonts w:hint="eastAsia" w:ascii="宋体" w:hAnsi="宋体" w:eastAsia="宋体" w:cs="宋体"/>
          <w:b/>
          <w:bCs w:val="0"/>
          <w:color w:val="000000"/>
          <w:sz w:val="24"/>
          <w:szCs w:val="24"/>
        </w:rPr>
        <w:t>维保服务</w:t>
      </w:r>
      <w:r>
        <w:rPr>
          <w:rFonts w:hint="eastAsia" w:ascii="宋体" w:hAnsi="宋体" w:cs="宋体"/>
          <w:b/>
          <w:bCs w:val="0"/>
          <w:color w:val="000000"/>
          <w:sz w:val="24"/>
          <w:szCs w:val="24"/>
          <w:lang w:val="en-US" w:eastAsia="zh-CN"/>
        </w:rPr>
        <w:t>需求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sz w:val="24"/>
          <w:szCs w:val="24"/>
        </w:rPr>
      </w:pPr>
      <w:r>
        <w:rPr>
          <w:rFonts w:hint="eastAsia"/>
          <w:sz w:val="21"/>
          <w:szCs w:val="21"/>
        </w:rPr>
        <w:t>★</w:t>
      </w:r>
      <w:r>
        <w:rPr>
          <w:rFonts w:hint="eastAsia" w:ascii="宋体" w:hAnsi="宋体" w:eastAsia="宋体" w:cs="宋体"/>
          <w:sz w:val="24"/>
          <w:szCs w:val="24"/>
        </w:rPr>
        <w:t>1、维保期内，施行替换性维修，即：原镜故障后，需要外送维修的</w:t>
      </w:r>
      <w:r>
        <w:rPr>
          <w:rFonts w:hint="eastAsia" w:ascii="宋体" w:hAnsi="宋体" w:eastAsia="宋体" w:cs="宋体"/>
          <w:sz w:val="24"/>
          <w:szCs w:val="24"/>
          <w:lang w:eastAsia="zh-CN"/>
        </w:rPr>
        <w:t>，</w:t>
      </w:r>
      <w:r>
        <w:rPr>
          <w:rFonts w:hint="eastAsia" w:ascii="宋体" w:hAnsi="宋体" w:eastAsia="宋体" w:cs="宋体"/>
          <w:sz w:val="24"/>
          <w:szCs w:val="24"/>
        </w:rPr>
        <w:t>需要提供备用镜。且满足（1）维修方式按照维修工艺级别要求进行零配件更换方式维修。（2）备用镜不能低于原镜配置的功能参数。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服务期内不定时、不定次叫修；每季度不少于一次的约定时间到服务点进行点检及预防性维护，每次完成后形成书面报告，主要要涉及发现的问题、处理的措施以及改进的建议和后续服务计划等内容的详细记录并提交存</w:t>
      </w:r>
      <w:r>
        <w:rPr>
          <w:rFonts w:hint="eastAsia" w:ascii="宋体" w:hAnsi="宋体" w:eastAsia="宋体" w:cs="宋体"/>
          <w:sz w:val="24"/>
          <w:szCs w:val="24"/>
          <w:lang w:val="en-US" w:eastAsia="zh-CN"/>
        </w:rPr>
        <w:t>采购人</w:t>
      </w:r>
      <w:r>
        <w:rPr>
          <w:rFonts w:hint="eastAsia" w:ascii="宋体" w:hAnsi="宋体" w:eastAsia="宋体" w:cs="宋体"/>
          <w:sz w:val="24"/>
          <w:szCs w:val="24"/>
        </w:rPr>
        <w:t>设备科存档。（需要</w:t>
      </w:r>
      <w:r>
        <w:rPr>
          <w:rFonts w:hint="eastAsia" w:ascii="宋体" w:hAnsi="宋体" w:eastAsia="宋体" w:cs="宋体"/>
          <w:sz w:val="24"/>
          <w:szCs w:val="24"/>
          <w:lang w:val="en-US" w:eastAsia="zh-CN"/>
        </w:rPr>
        <w:t>采购人</w:t>
      </w:r>
      <w:r>
        <w:rPr>
          <w:rFonts w:hint="eastAsia" w:ascii="宋体" w:hAnsi="宋体" w:eastAsia="宋体" w:cs="宋体"/>
          <w:sz w:val="24"/>
          <w:szCs w:val="24"/>
        </w:rPr>
        <w:t>使用科室和设备科工程师共同签字）。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3、需要有二十四小时客服报修联系电话，维保方接报修后立即响应（不超过1小时跟进维修处理），若电话或视频不能远程解决的问题，5小时内到达现场，若现场当天不能解决故障的</w:t>
      </w:r>
      <w:r>
        <w:rPr>
          <w:rFonts w:hint="eastAsia" w:ascii="宋体" w:hAnsi="宋体" w:cs="宋体"/>
          <w:sz w:val="24"/>
          <w:szCs w:val="24"/>
          <w:lang w:eastAsia="zh-CN"/>
        </w:rPr>
        <w:t>，</w:t>
      </w:r>
      <w:r>
        <w:rPr>
          <w:rFonts w:hint="eastAsia" w:ascii="宋体" w:hAnsi="宋体" w:eastAsia="宋体" w:cs="宋体"/>
          <w:sz w:val="24"/>
          <w:szCs w:val="24"/>
        </w:rPr>
        <w:t>以满足使用科室用镜需求的最短时间内提供备品至服务地点。</w:t>
      </w:r>
      <w:r>
        <w:rPr>
          <w:rFonts w:hint="eastAsia" w:ascii="宋体" w:hAnsi="宋体" w:eastAsia="宋体" w:cs="宋体"/>
          <w:sz w:val="24"/>
          <w:szCs w:val="24"/>
          <w:lang w:val="en-US" w:eastAsia="zh-CN"/>
        </w:rPr>
        <w:t>采购人</w:t>
      </w:r>
      <w:r>
        <w:rPr>
          <w:rFonts w:hint="eastAsia" w:ascii="宋体" w:hAnsi="宋体" w:eastAsia="宋体" w:cs="宋体"/>
          <w:sz w:val="24"/>
          <w:szCs w:val="24"/>
        </w:rPr>
        <w:t>设备科工程师以及使用科室将对整个维修过程和提供的备品共同进行监督和验证，同时所有类型故障处置完毕（包括原镜和备品的交接后）必须有</w:t>
      </w:r>
      <w:r>
        <w:rPr>
          <w:rFonts w:hint="eastAsia" w:ascii="宋体" w:hAnsi="宋体" w:cs="宋体"/>
          <w:sz w:val="24"/>
          <w:szCs w:val="24"/>
          <w:lang w:val="en-US" w:eastAsia="zh-CN"/>
        </w:rPr>
        <w:t>采购人</w:t>
      </w:r>
      <w:r>
        <w:rPr>
          <w:rFonts w:hint="eastAsia" w:ascii="宋体" w:hAnsi="宋体" w:eastAsia="宋体" w:cs="宋体"/>
          <w:sz w:val="24"/>
          <w:szCs w:val="24"/>
        </w:rPr>
        <w:t>使用科室和设备科工程师共同签字确认且留工作记录给</w:t>
      </w:r>
      <w:r>
        <w:rPr>
          <w:rFonts w:hint="eastAsia" w:ascii="宋体" w:hAnsi="宋体" w:cs="宋体"/>
          <w:sz w:val="24"/>
          <w:szCs w:val="24"/>
          <w:lang w:val="en-US" w:eastAsia="zh-CN"/>
        </w:rPr>
        <w:t>采购人</w:t>
      </w:r>
      <w:r>
        <w:rPr>
          <w:rFonts w:hint="eastAsia" w:ascii="宋体" w:hAnsi="宋体" w:eastAsia="宋体" w:cs="宋体"/>
          <w:sz w:val="24"/>
          <w:szCs w:val="24"/>
        </w:rPr>
        <w:t>设备科备案存档。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4、为</w:t>
      </w:r>
      <w:r>
        <w:rPr>
          <w:rFonts w:hint="eastAsia" w:ascii="宋体" w:hAnsi="宋体" w:cs="宋体"/>
          <w:sz w:val="24"/>
          <w:szCs w:val="24"/>
          <w:lang w:val="en-US" w:eastAsia="zh-CN"/>
        </w:rPr>
        <w:t>采购人</w:t>
      </w:r>
      <w:r>
        <w:rPr>
          <w:rFonts w:hint="eastAsia" w:ascii="宋体" w:hAnsi="宋体" w:eastAsia="宋体" w:cs="宋体"/>
          <w:sz w:val="24"/>
          <w:szCs w:val="24"/>
        </w:rPr>
        <w:t>用镜及维护人员（医生、护士、工程师）进行相关行业标准以及技能培训，每服务满一年，将本年度的培训记录形成年度培训报告交</w:t>
      </w:r>
      <w:r>
        <w:rPr>
          <w:rFonts w:hint="eastAsia" w:ascii="宋体" w:hAnsi="宋体" w:cs="宋体"/>
          <w:sz w:val="24"/>
          <w:szCs w:val="24"/>
          <w:lang w:val="en-US" w:eastAsia="zh-CN"/>
        </w:rPr>
        <w:t>采购人</w:t>
      </w:r>
      <w:r>
        <w:rPr>
          <w:rFonts w:hint="eastAsia" w:ascii="宋体" w:hAnsi="宋体" w:eastAsia="宋体" w:cs="宋体"/>
          <w:sz w:val="24"/>
          <w:szCs w:val="24"/>
        </w:rPr>
        <w:t>设备科。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5、在维保服务期间，出现典型或者重大故障时，维保方需要单独就故障进行分析和总结，提交报告给</w:t>
      </w:r>
      <w:r>
        <w:rPr>
          <w:rFonts w:hint="eastAsia" w:ascii="宋体" w:hAnsi="宋体" w:cs="宋体"/>
          <w:sz w:val="24"/>
          <w:szCs w:val="24"/>
          <w:lang w:val="en-US" w:eastAsia="zh-CN"/>
        </w:rPr>
        <w:t>采购人</w:t>
      </w:r>
      <w:r>
        <w:rPr>
          <w:rFonts w:hint="eastAsia" w:ascii="宋体" w:hAnsi="宋体" w:eastAsia="宋体" w:cs="宋体"/>
          <w:sz w:val="24"/>
          <w:szCs w:val="24"/>
        </w:rPr>
        <w:t>设备科，以便</w:t>
      </w:r>
      <w:r>
        <w:rPr>
          <w:rFonts w:hint="eastAsia" w:ascii="宋体" w:hAnsi="宋体" w:cs="宋体"/>
          <w:sz w:val="24"/>
          <w:szCs w:val="24"/>
          <w:lang w:val="en-US" w:eastAsia="zh-CN"/>
        </w:rPr>
        <w:t>采购人</w:t>
      </w:r>
      <w:r>
        <w:rPr>
          <w:rFonts w:hint="eastAsia" w:ascii="宋体" w:hAnsi="宋体" w:eastAsia="宋体" w:cs="宋体"/>
          <w:sz w:val="24"/>
          <w:szCs w:val="24"/>
        </w:rPr>
        <w:t>加以改进并及时杜绝类似隐患</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6、正常使用承诺：在保修期内，若由于提供的备品缺陷相关引起的事故</w:t>
      </w:r>
      <w:r>
        <w:rPr>
          <w:rFonts w:hint="eastAsia" w:ascii="宋体" w:hAnsi="宋体" w:cs="宋体"/>
          <w:sz w:val="24"/>
          <w:szCs w:val="24"/>
          <w:lang w:eastAsia="zh-CN"/>
        </w:rPr>
        <w:t>，</w:t>
      </w:r>
      <w:r>
        <w:rPr>
          <w:rFonts w:hint="eastAsia" w:ascii="宋体" w:hAnsi="宋体" w:eastAsia="宋体" w:cs="宋体"/>
          <w:sz w:val="24"/>
          <w:szCs w:val="24"/>
        </w:rPr>
        <w:t>须由维保方承担相应责任，且</w:t>
      </w:r>
      <w:r>
        <w:rPr>
          <w:rFonts w:hint="eastAsia" w:ascii="宋体" w:hAnsi="宋体" w:cs="宋体"/>
          <w:sz w:val="24"/>
          <w:szCs w:val="24"/>
          <w:lang w:val="en-US" w:eastAsia="zh-CN"/>
        </w:rPr>
        <w:t>采购人</w:t>
      </w:r>
      <w:r>
        <w:rPr>
          <w:rFonts w:hint="eastAsia" w:ascii="宋体" w:hAnsi="宋体" w:eastAsia="宋体" w:cs="宋体"/>
          <w:sz w:val="24"/>
          <w:szCs w:val="24"/>
        </w:rPr>
        <w:t>有权要求终止合同并进行索赔。为保证维保服务质量特别是设备功能正常发挥，维保方需提供满足比选方用镜需求的且最优的维保方案。</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保修期内开机率不低于95%（全年停机时间不超过18天），停机时间每超过一天保修期自动顺延10天的保修期；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8、合同到期前，采购人设备科、使用科室以及维保方三方共同对维保内镜验证其性能，性能合格，达到维保要求，经签字确认后按支付方式支付剩余尾款。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eastAsia" w:ascii="宋体" w:hAnsi="宋体" w:eastAsia="宋体" w:cs="宋体"/>
          <w:sz w:val="24"/>
          <w:szCs w:val="24"/>
        </w:rPr>
      </w:pPr>
    </w:p>
    <w:p>
      <w:pPr>
        <w:pStyle w:val="9"/>
        <w:keepNext w:val="0"/>
        <w:keepLines w:val="0"/>
        <w:pageBreakBefore w:val="0"/>
        <w:widowControl w:val="0"/>
        <w:kinsoku/>
        <w:wordWrap/>
        <w:overflowPunct/>
        <w:topLinePunct w:val="0"/>
        <w:autoSpaceDE/>
        <w:autoSpaceDN/>
        <w:bidi w:val="0"/>
        <w:adjustRightInd/>
        <w:snapToGrid/>
        <w:spacing w:after="0" w:line="420" w:lineRule="exact"/>
        <w:ind w:firstLine="480" w:firstLineChars="200"/>
        <w:jc w:val="left"/>
        <w:textAlignment w:val="auto"/>
        <w:rPr>
          <w:rFonts w:hint="eastAsia" w:ascii="宋体" w:hAnsi="宋体" w:eastAsia="宋体" w:cs="宋体"/>
          <w:sz w:val="24"/>
          <w:szCs w:val="24"/>
        </w:rPr>
      </w:pPr>
    </w:p>
    <w:p>
      <w:pPr>
        <w:pStyle w:val="16"/>
        <w:ind w:firstLine="880"/>
        <w:rPr>
          <w:rFonts w:ascii="宋体" w:hAnsi="宋体"/>
          <w:bCs/>
          <w:sz w:val="44"/>
          <w:szCs w:val="44"/>
        </w:rPr>
      </w:pPr>
      <w:r>
        <w:rPr>
          <w:rFonts w:hint="eastAsia" w:cs="宋体" w:asciiTheme="majorEastAsia" w:hAnsiTheme="majorEastAsia" w:eastAsiaTheme="majorEastAsia"/>
          <w:bCs/>
          <w:sz w:val="44"/>
          <w:szCs w:val="44"/>
        </w:rPr>
        <w:tab/>
      </w:r>
    </w:p>
    <w:p>
      <w:pPr>
        <w:pStyle w:val="16"/>
        <w:ind w:firstLine="880"/>
        <w:rPr>
          <w:rFonts w:ascii="宋体" w:hAnsi="宋体"/>
          <w:bCs/>
          <w:sz w:val="44"/>
          <w:szCs w:val="44"/>
        </w:rPr>
      </w:pPr>
    </w:p>
    <w:p>
      <w:pPr>
        <w:pStyle w:val="16"/>
        <w:ind w:firstLine="880"/>
        <w:rPr>
          <w:rFonts w:ascii="宋体" w:hAnsi="宋体"/>
          <w:bCs/>
          <w:sz w:val="44"/>
          <w:szCs w:val="44"/>
        </w:rPr>
      </w:pPr>
    </w:p>
    <w:p>
      <w:pPr>
        <w:pStyle w:val="16"/>
        <w:ind w:firstLine="880"/>
        <w:rPr>
          <w:rFonts w:ascii="宋体" w:hAnsi="宋体"/>
          <w:bCs/>
          <w:sz w:val="44"/>
          <w:szCs w:val="44"/>
        </w:rPr>
      </w:pPr>
    </w:p>
    <w:p>
      <w:pPr>
        <w:pStyle w:val="16"/>
        <w:ind w:firstLine="880"/>
        <w:rPr>
          <w:rFonts w:ascii="宋体" w:hAnsi="宋体"/>
          <w:bCs/>
          <w:sz w:val="44"/>
          <w:szCs w:val="44"/>
        </w:rPr>
      </w:pPr>
    </w:p>
    <w:p>
      <w:pPr>
        <w:pStyle w:val="16"/>
        <w:ind w:left="0" w:leftChars="0" w:firstLine="0" w:firstLineChars="0"/>
        <w:rPr>
          <w:rFonts w:ascii="宋体" w:hAnsi="宋体"/>
          <w:bCs/>
          <w:sz w:val="44"/>
          <w:szCs w:val="44"/>
        </w:rPr>
      </w:pPr>
    </w:p>
    <w:p>
      <w:pPr>
        <w:ind w:firstLine="880" w:firstLineChars="200"/>
      </w:pPr>
      <w:r>
        <w:rPr>
          <w:rFonts w:hint="eastAsia" w:ascii="宋体" w:hAnsi="宋体" w:cs="宋体"/>
          <w:bCs/>
          <w:sz w:val="44"/>
          <w:szCs w:val="44"/>
        </w:rPr>
        <w:t>第</w:t>
      </w:r>
      <w:r>
        <w:rPr>
          <w:rFonts w:hint="eastAsia" w:ascii="宋体" w:hAnsi="宋体" w:cs="宋体"/>
          <w:bCs/>
          <w:sz w:val="44"/>
          <w:szCs w:val="44"/>
          <w:lang w:val="en-US" w:eastAsia="zh-CN"/>
        </w:rPr>
        <w:t>四</w:t>
      </w:r>
      <w:r>
        <w:rPr>
          <w:rFonts w:hint="eastAsia" w:ascii="宋体" w:hAnsi="宋体" w:cs="宋体"/>
          <w:bCs/>
          <w:sz w:val="44"/>
          <w:szCs w:val="44"/>
        </w:rPr>
        <w:t>章    部份响应文件格式（可参照）</w:t>
      </w:r>
    </w:p>
    <w:p>
      <w:pPr>
        <w:pStyle w:val="16"/>
        <w:ind w:firstLine="880"/>
        <w:rPr>
          <w:rFonts w:ascii="宋体" w:hAnsi="宋体"/>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sz w:val="32"/>
          <w:szCs w:val="32"/>
          <w:u w:val="single"/>
        </w:rPr>
        <w:t xml:space="preserve">                               </w:t>
      </w:r>
      <w:r>
        <w:rPr>
          <w:rFonts w:hint="eastAsia"/>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sz w:val="64"/>
          <w:szCs w:val="64"/>
        </w:rPr>
      </w:pPr>
      <w:r>
        <w:rPr>
          <w:rFonts w:hint="eastAsia"/>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sz w:val="32"/>
          <w:szCs w:val="32"/>
        </w:rPr>
      </w:pPr>
      <w:r>
        <w:rPr>
          <w:rFonts w:ascii="宋体" w:hAnsi="宋体"/>
          <w:sz w:val="32"/>
          <w:szCs w:val="32"/>
        </w:rPr>
        <w:t>目</w:t>
      </w:r>
      <w:r>
        <w:rPr>
          <w:rFonts w:hint="eastAsia" w:ascii="宋体" w:hAnsi="宋体"/>
          <w:sz w:val="32"/>
          <w:szCs w:val="32"/>
        </w:rPr>
        <w:t xml:space="preserve">  </w:t>
      </w:r>
      <w:r>
        <w:rPr>
          <w:rFonts w:ascii="宋体" w:hAnsi="宋体"/>
          <w:sz w:val="32"/>
          <w:szCs w:val="32"/>
        </w:rPr>
        <w:t>录</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hint="eastAsia" w:ascii="宋体" w:hAnsi="宋体"/>
          <w:sz w:val="24"/>
          <w:szCs w:val="24"/>
        </w:rPr>
        <w:t>一、响应函；</w:t>
      </w:r>
    </w:p>
    <w:p>
      <w:pPr>
        <w:spacing w:line="480" w:lineRule="exact"/>
        <w:ind w:firstLine="480" w:firstLineChars="200"/>
        <w:jc w:val="left"/>
        <w:rPr>
          <w:rFonts w:ascii="宋体" w:hAnsi="宋体"/>
          <w:sz w:val="24"/>
          <w:szCs w:val="24"/>
        </w:rPr>
      </w:pPr>
      <w:r>
        <w:rPr>
          <w:rFonts w:hint="eastAsia" w:ascii="宋体" w:hAnsi="宋体"/>
          <w:sz w:val="24"/>
          <w:szCs w:val="24"/>
        </w:rPr>
        <w:t>二、法定代表人（主要负责人）身份证明及授权委托书；</w:t>
      </w:r>
    </w:p>
    <w:p>
      <w:pPr>
        <w:spacing w:line="480" w:lineRule="exact"/>
        <w:ind w:firstLine="480" w:firstLineChars="200"/>
        <w:jc w:val="left"/>
        <w:rPr>
          <w:rFonts w:ascii="宋体" w:hAnsi="宋体"/>
          <w:sz w:val="24"/>
          <w:szCs w:val="24"/>
        </w:rPr>
      </w:pPr>
      <w:r>
        <w:rPr>
          <w:rFonts w:hint="eastAsia" w:ascii="宋体" w:hAnsi="宋体"/>
          <w:sz w:val="24"/>
          <w:szCs w:val="24"/>
        </w:rPr>
        <w:t>三、营业执照副本；</w:t>
      </w:r>
    </w:p>
    <w:p>
      <w:pPr>
        <w:spacing w:line="480" w:lineRule="exact"/>
        <w:ind w:firstLine="480" w:firstLineChars="200"/>
        <w:jc w:val="left"/>
        <w:rPr>
          <w:rFonts w:hint="eastAsia" w:ascii="宋体" w:hAnsi="宋体"/>
          <w:sz w:val="24"/>
          <w:szCs w:val="24"/>
        </w:rPr>
      </w:pPr>
      <w:r>
        <w:rPr>
          <w:rFonts w:hint="eastAsia" w:ascii="宋体" w:hAnsi="宋体"/>
          <w:sz w:val="24"/>
          <w:szCs w:val="24"/>
        </w:rPr>
        <w:t>四、技术部分；</w:t>
      </w:r>
    </w:p>
    <w:p>
      <w:pPr>
        <w:spacing w:line="480" w:lineRule="exact"/>
        <w:ind w:firstLine="480" w:firstLineChars="200"/>
        <w:jc w:val="left"/>
        <w:rPr>
          <w:rFonts w:ascii="宋体" w:hAnsi="宋体"/>
          <w:sz w:val="24"/>
          <w:szCs w:val="24"/>
        </w:rPr>
      </w:pPr>
      <w:r>
        <w:rPr>
          <w:rFonts w:hint="eastAsia" w:ascii="宋体" w:hAnsi="宋体"/>
          <w:sz w:val="24"/>
          <w:szCs w:val="24"/>
        </w:rPr>
        <w:t>五、商务部分；</w:t>
      </w:r>
    </w:p>
    <w:p>
      <w:pPr>
        <w:spacing w:line="480" w:lineRule="exact"/>
        <w:ind w:firstLine="480" w:firstLineChars="200"/>
        <w:jc w:val="left"/>
        <w:rPr>
          <w:rFonts w:ascii="宋体" w:hAnsi="宋体"/>
          <w:sz w:val="24"/>
          <w:szCs w:val="24"/>
        </w:rPr>
      </w:pPr>
      <w:r>
        <w:rPr>
          <w:rFonts w:hint="eastAsia" w:ascii="宋体" w:hAnsi="宋体"/>
          <w:sz w:val="24"/>
          <w:szCs w:val="24"/>
        </w:rPr>
        <w:t>六、其它须说明材料。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tabs>
          <w:tab w:val="left" w:pos="360"/>
        </w:tabs>
        <w:spacing w:afterLines="50" w:line="480" w:lineRule="exact"/>
        <w:jc w:val="left"/>
        <w:rPr>
          <w:rFonts w:ascii="宋体" w:hAnsi="宋体" w:cs="宋体"/>
          <w:bCs/>
        </w:rPr>
      </w:pPr>
    </w:p>
    <w:p>
      <w:pPr>
        <w:spacing w:line="400" w:lineRule="exact"/>
        <w:jc w:val="center"/>
        <w:rPr>
          <w:rFonts w:ascii="宋体" w:hAnsi="宋体"/>
          <w:sz w:val="32"/>
          <w:szCs w:val="32"/>
        </w:rPr>
      </w:pPr>
      <w:r>
        <w:rPr>
          <w:rFonts w:ascii="宋体" w:hAnsi="宋体"/>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Theme="minorEastAsia" w:hAnsiTheme="minorEastAsia"/>
          <w:sz w:val="24"/>
          <w:szCs w:val="24"/>
        </w:rPr>
      </w:pPr>
      <w:r>
        <w:rPr>
          <w:rFonts w:ascii="宋体" w:hAnsi="宋体"/>
          <w:sz w:val="24"/>
          <w:szCs w:val="24"/>
        </w:rPr>
        <w:t>1</w:t>
      </w:r>
      <w:r>
        <w:rPr>
          <w:rFonts w:hint="eastAsia" w:ascii="宋体" w:hAnsi="宋体"/>
          <w:sz w:val="24"/>
          <w:szCs w:val="24"/>
        </w:rPr>
        <w:t>．</w:t>
      </w:r>
      <w:r>
        <w:rPr>
          <w:rFonts w:asciiTheme="minorEastAsia" w:hAnsiTheme="minorEastAsia"/>
          <w:sz w:val="24"/>
          <w:szCs w:val="24"/>
        </w:rPr>
        <w:t>我方已仔细研究了</w:t>
      </w:r>
      <w:r>
        <w:rPr>
          <w:rFonts w:hint="eastAsia" w:asciiTheme="minorEastAsia" w:hAnsiTheme="minorEastAsia"/>
          <w:sz w:val="24"/>
          <w:szCs w:val="24"/>
          <w:u w:val="single"/>
        </w:rPr>
        <w:t xml:space="preserve">                         </w:t>
      </w:r>
      <w:r>
        <w:rPr>
          <w:rFonts w:asciiTheme="minorEastAsia" w:hAnsiTheme="minorEastAsia"/>
          <w:sz w:val="24"/>
          <w:szCs w:val="24"/>
        </w:rPr>
        <w:t>（项目名称）</w:t>
      </w:r>
      <w:r>
        <w:rPr>
          <w:rFonts w:hint="eastAsia" w:asciiTheme="minorEastAsia" w:hAnsiTheme="minorEastAsia"/>
          <w:sz w:val="24"/>
          <w:szCs w:val="24"/>
        </w:rPr>
        <w:t>比选</w:t>
      </w:r>
      <w:r>
        <w:rPr>
          <w:rFonts w:asciiTheme="minorEastAsia" w:hAnsiTheme="minorEastAsia"/>
          <w:sz w:val="24"/>
          <w:szCs w:val="24"/>
        </w:rPr>
        <w:t>文件的全部内容，</w:t>
      </w:r>
      <w:r>
        <w:rPr>
          <w:rFonts w:hint="eastAsia" w:asciiTheme="minorEastAsia" w:hAnsiTheme="minorEastAsia"/>
          <w:sz w:val="24"/>
          <w:szCs w:val="24"/>
        </w:rPr>
        <w:t>愿意</w:t>
      </w:r>
      <w:r>
        <w:rPr>
          <w:rFonts w:asciiTheme="minorEastAsia" w:hAnsiTheme="minorEastAsia"/>
          <w:sz w:val="24"/>
          <w:szCs w:val="24"/>
        </w:rPr>
        <w:t>以</w:t>
      </w:r>
      <w:r>
        <w:rPr>
          <w:rFonts w:hint="eastAsia" w:asciiTheme="minorEastAsia" w:hAnsiTheme="minorEastAsia"/>
          <w:sz w:val="24"/>
          <w:szCs w:val="24"/>
          <w:u w:val="single"/>
        </w:rPr>
        <w:t xml:space="preserve">          </w:t>
      </w:r>
      <w:r>
        <w:rPr>
          <w:rFonts w:hint="eastAsia" w:asciiTheme="minorEastAsia" w:hAnsiTheme="minorEastAsia"/>
          <w:sz w:val="24"/>
          <w:szCs w:val="24"/>
        </w:rPr>
        <w:t>的报价（</w:t>
      </w:r>
      <w:r>
        <w:rPr>
          <w:rFonts w:asciiTheme="minorEastAsia" w:hAnsiTheme="minorEastAsia"/>
          <w:sz w:val="24"/>
          <w:szCs w:val="24"/>
        </w:rPr>
        <w:t>含税价</w:t>
      </w:r>
      <w:r>
        <w:rPr>
          <w:rFonts w:hint="eastAsia" w:asciiTheme="minorEastAsia" w:hAnsiTheme="minorEastAsia"/>
          <w:sz w:val="24"/>
          <w:szCs w:val="24"/>
        </w:rPr>
        <w:t>）</w:t>
      </w:r>
      <w:r>
        <w:rPr>
          <w:rFonts w:asciiTheme="minorEastAsia" w:hAnsiTheme="minorEastAsia"/>
          <w:sz w:val="24"/>
          <w:szCs w:val="24"/>
        </w:rPr>
        <w:t>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（1）比选报价函；</w:t>
      </w:r>
    </w:p>
    <w:p>
      <w:pPr>
        <w:spacing w:line="460" w:lineRule="exact"/>
        <w:ind w:firstLine="480" w:firstLineChars="200"/>
        <w:jc w:val="left"/>
        <w:rPr>
          <w:rFonts w:ascii="宋体" w:hAnsi="宋体"/>
          <w:sz w:val="24"/>
          <w:szCs w:val="24"/>
        </w:rPr>
      </w:pPr>
      <w:r>
        <w:rPr>
          <w:rFonts w:hint="eastAsia" w:ascii="宋体" w:hAnsi="宋体"/>
          <w:sz w:val="24"/>
          <w:szCs w:val="24"/>
        </w:rPr>
        <w:t>（2）法定代表人（主要负责人）身份证明及授权委托书；</w:t>
      </w:r>
    </w:p>
    <w:p>
      <w:pPr>
        <w:spacing w:line="460" w:lineRule="exact"/>
        <w:ind w:firstLine="480" w:firstLineChars="200"/>
        <w:jc w:val="left"/>
        <w:rPr>
          <w:rFonts w:ascii="宋体" w:hAnsi="宋体"/>
          <w:sz w:val="24"/>
          <w:szCs w:val="24"/>
        </w:rPr>
      </w:pPr>
      <w:r>
        <w:rPr>
          <w:rFonts w:hint="eastAsia" w:ascii="宋体" w:hAnsi="宋体"/>
          <w:sz w:val="24"/>
          <w:szCs w:val="24"/>
        </w:rPr>
        <w:t>（3）营业执照副本；</w:t>
      </w:r>
    </w:p>
    <w:p>
      <w:pPr>
        <w:spacing w:line="460" w:lineRule="exact"/>
        <w:ind w:firstLine="480" w:firstLineChars="200"/>
        <w:jc w:val="left"/>
        <w:rPr>
          <w:rFonts w:ascii="宋体" w:hAnsi="宋体"/>
          <w:sz w:val="24"/>
          <w:szCs w:val="24"/>
        </w:rPr>
      </w:pPr>
      <w:r>
        <w:rPr>
          <w:rFonts w:hint="eastAsia" w:ascii="宋体" w:hAnsi="宋体"/>
          <w:sz w:val="24"/>
          <w:szCs w:val="24"/>
        </w:rPr>
        <w:t>（4）技术部分；</w:t>
      </w:r>
    </w:p>
    <w:p>
      <w:pPr>
        <w:spacing w:line="460" w:lineRule="exact"/>
        <w:ind w:firstLine="480" w:firstLineChars="200"/>
        <w:jc w:val="left"/>
        <w:rPr>
          <w:rFonts w:ascii="宋体" w:hAnsi="宋体"/>
          <w:sz w:val="24"/>
          <w:szCs w:val="24"/>
        </w:rPr>
      </w:pPr>
      <w:r>
        <w:rPr>
          <w:rFonts w:hint="eastAsia" w:ascii="宋体" w:hAnsi="宋体"/>
          <w:sz w:val="24"/>
          <w:szCs w:val="24"/>
        </w:rPr>
        <w:t>（5）商务部分；</w:t>
      </w:r>
    </w:p>
    <w:p>
      <w:pPr>
        <w:spacing w:line="460" w:lineRule="exact"/>
        <w:ind w:firstLine="480" w:firstLineChars="200"/>
        <w:jc w:val="left"/>
        <w:rPr>
          <w:rFonts w:ascii="宋体" w:hAnsi="宋体"/>
          <w:sz w:val="24"/>
          <w:szCs w:val="24"/>
        </w:rPr>
      </w:pPr>
      <w:r>
        <w:rPr>
          <w:rFonts w:hint="eastAsia" w:ascii="宋体" w:hAnsi="宋体"/>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spacing w:line="400" w:lineRule="exact"/>
        <w:jc w:val="center"/>
        <w:rPr>
          <w:rFonts w:ascii="宋体" w:hAnsi="宋体"/>
          <w:sz w:val="32"/>
          <w:szCs w:val="32"/>
        </w:rPr>
      </w:pPr>
    </w:p>
    <w:p>
      <w:pPr>
        <w:spacing w:line="400" w:lineRule="exact"/>
        <w:jc w:val="center"/>
        <w:rPr>
          <w:rFonts w:ascii="宋体" w:hAnsi="宋体"/>
          <w:sz w:val="32"/>
          <w:szCs w:val="32"/>
        </w:rPr>
      </w:pPr>
    </w:p>
    <w:p>
      <w:pPr>
        <w:spacing w:line="400" w:lineRule="exact"/>
        <w:jc w:val="center"/>
        <w:rPr>
          <w:rFonts w:ascii="宋体" w:hAnsi="宋体"/>
          <w:sz w:val="32"/>
          <w:szCs w:val="32"/>
        </w:rPr>
      </w:pPr>
      <w:r>
        <w:rPr>
          <w:rFonts w:ascii="宋体" w:hAnsi="宋体"/>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sz w:val="32"/>
          <w:szCs w:val="32"/>
        </w:rPr>
      </w:pPr>
      <w:r>
        <w:rPr>
          <w:rFonts w:hint="eastAsia" w:ascii="宋体" w:hAnsi="宋体"/>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7"/>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法定代表人（主要负责人）身份证正面复印件</w:t>
            </w:r>
          </w:p>
          <w:p>
            <w:pPr>
              <w:spacing w:line="520" w:lineRule="exact"/>
              <w:rPr>
                <w:rFonts w:ascii="宋体" w:hAnsi="宋体"/>
              </w:rPr>
            </w:pPr>
          </w:p>
        </w:tc>
      </w:tr>
    </w:tbl>
    <w:p>
      <w:pPr>
        <w:rPr>
          <w:rFonts w:ascii="宋体" w:hAnsi="宋体"/>
          <w:vanish/>
        </w:rPr>
      </w:pPr>
    </w:p>
    <w:tbl>
      <w:tblPr>
        <w:tblStyle w:val="17"/>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0" w:firstLineChars="100"/>
              <w:rPr>
                <w:rFonts w:ascii="宋体" w:hAnsi="宋体"/>
              </w:rPr>
            </w:pPr>
          </w:p>
          <w:p>
            <w:pPr>
              <w:spacing w:line="520" w:lineRule="exact"/>
              <w:ind w:firstLine="210" w:firstLineChars="100"/>
              <w:rPr>
                <w:rFonts w:ascii="宋体" w:hAnsi="宋体"/>
              </w:rPr>
            </w:pPr>
            <w:r>
              <w:rPr>
                <w:rFonts w:hint="eastAsia" w:ascii="宋体" w:hAnsi="宋体"/>
              </w:rPr>
              <w:t>法定代表人（主要负责人）身份证背面复印件</w:t>
            </w:r>
          </w:p>
          <w:p>
            <w:pPr>
              <w:spacing w:line="520" w:lineRule="exact"/>
              <w:rPr>
                <w:rFonts w:ascii="宋体" w:hAnsi="宋体"/>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rPr>
      </w:pPr>
    </w:p>
    <w:p/>
    <w:p/>
    <w:p/>
    <w:p/>
    <w:p/>
    <w:p/>
    <w:p/>
    <w:p/>
    <w:p/>
    <w:p/>
    <w:p/>
    <w:p/>
    <w:p/>
    <w:p/>
    <w:p/>
    <w:p/>
    <w:p/>
    <w:p/>
    <w:p>
      <w:pPr>
        <w:tabs>
          <w:tab w:val="left" w:pos="874"/>
        </w:tabs>
        <w:jc w:val="left"/>
      </w:pPr>
      <w:r>
        <w:rPr>
          <w:rFonts w:hint="eastAsia"/>
        </w:rPr>
        <w:tab/>
      </w:r>
    </w:p>
    <w:p>
      <w:pPr>
        <w:spacing w:line="273" w:lineRule="auto"/>
        <w:jc w:val="center"/>
        <w:rPr>
          <w:rFonts w:ascii="宋体" w:hAnsi="宋体"/>
          <w:sz w:val="32"/>
          <w:szCs w:val="32"/>
        </w:rPr>
      </w:pPr>
      <w:r>
        <w:rPr>
          <w:rFonts w:hint="eastAsia" w:ascii="宋体" w:hAnsi="宋体" w:cs="宋体"/>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pStyle w:val="16"/>
        <w:sectPr>
          <w:footerReference r:id="rId9" w:type="default"/>
          <w:pgSz w:w="11906" w:h="16838"/>
          <w:pgMar w:top="1276" w:right="1274" w:bottom="1135" w:left="1134" w:header="851" w:footer="992" w:gutter="0"/>
          <w:pgNumType w:start="1"/>
          <w:cols w:space="720" w:num="1"/>
          <w:docGrid w:type="lines" w:linePitch="312" w:charSpace="0"/>
        </w:sectPr>
      </w:pPr>
    </w:p>
    <w:p>
      <w:pPr>
        <w:spacing w:line="276" w:lineRule="auto"/>
        <w:rPr>
          <w:rFonts w:ascii="宋体"/>
          <w:bCs/>
          <w:sz w:val="28"/>
          <w:szCs w:val="28"/>
        </w:rPr>
      </w:pPr>
      <w:r>
        <w:rPr>
          <w:rFonts w:hint="eastAsia" w:ascii="宋体" w:hAnsi="宋体" w:cs="宋体"/>
          <w:bCs/>
          <w:sz w:val="28"/>
          <w:szCs w:val="28"/>
        </w:rPr>
        <w:t>五、营业执照副本。</w:t>
      </w:r>
    </w:p>
    <w:p>
      <w:pPr>
        <w:spacing w:line="276" w:lineRule="auto"/>
        <w:rPr>
          <w:rFonts w:ascii="宋体"/>
          <w:bCs/>
          <w:sz w:val="28"/>
          <w:szCs w:val="28"/>
        </w:rPr>
      </w:pPr>
      <w:r>
        <w:rPr>
          <w:rFonts w:hint="eastAsia" w:ascii="宋体"/>
          <w:bCs/>
          <w:sz w:val="28"/>
          <w:szCs w:val="28"/>
        </w:rPr>
        <w:t>六、资质材料。</w:t>
      </w:r>
    </w:p>
    <w:p>
      <w:pPr>
        <w:spacing w:line="276" w:lineRule="auto"/>
        <w:rPr>
          <w:rFonts w:ascii="宋体"/>
          <w:bCs/>
          <w:sz w:val="28"/>
          <w:szCs w:val="28"/>
        </w:rPr>
      </w:pPr>
      <w:r>
        <w:rPr>
          <w:rFonts w:hint="eastAsia" w:ascii="宋体"/>
          <w:bCs/>
          <w:sz w:val="28"/>
          <w:szCs w:val="28"/>
        </w:rPr>
        <w:t>七、技术部分。</w:t>
      </w:r>
    </w:p>
    <w:p>
      <w:pPr>
        <w:spacing w:line="276" w:lineRule="auto"/>
        <w:rPr>
          <w:rFonts w:ascii="宋体"/>
          <w:bCs/>
          <w:sz w:val="28"/>
          <w:szCs w:val="28"/>
        </w:rPr>
      </w:pPr>
      <w:r>
        <w:rPr>
          <w:rFonts w:hint="eastAsia" w:ascii="宋体"/>
          <w:bCs/>
          <w:sz w:val="28"/>
          <w:szCs w:val="28"/>
        </w:rPr>
        <w:t>八、商务部分。</w:t>
      </w:r>
    </w:p>
    <w:p>
      <w:pPr>
        <w:spacing w:line="276" w:lineRule="auto"/>
        <w:rPr>
          <w:rFonts w:ascii="宋体"/>
          <w:bCs/>
          <w:sz w:val="28"/>
          <w:szCs w:val="28"/>
        </w:rPr>
      </w:pPr>
      <w:r>
        <w:rPr>
          <w:rFonts w:hint="eastAsia" w:ascii="宋体"/>
          <w:bCs/>
          <w:sz w:val="28"/>
          <w:szCs w:val="28"/>
        </w:rPr>
        <w:t>九、其它须说明材料。</w:t>
      </w:r>
    </w:p>
    <w:p>
      <w:pPr>
        <w:spacing w:line="276" w:lineRule="auto"/>
        <w:rPr>
          <w:rFonts w:ascii="宋体"/>
          <w:bCs/>
          <w:sz w:val="28"/>
          <w:szCs w:val="28"/>
        </w:rPr>
      </w:pPr>
      <w:r>
        <w:rPr>
          <w:rFonts w:hint="eastAsia" w:ascii="宋体"/>
          <w:bCs/>
          <w:sz w:val="28"/>
          <w:szCs w:val="28"/>
        </w:rPr>
        <w:t>格式由响应人自行编制</w:t>
      </w: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p>
      <w:pPr>
        <w:spacing w:line="276" w:lineRule="auto"/>
        <w:rPr>
          <w:rFonts w:ascii="宋体"/>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1</w:t>
    </w:r>
    <w:r>
      <w:rPr>
        <w:rFonts w:hint="eastAsia"/>
      </w:rPr>
      <w:t>5</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D3C2A"/>
    <w:rsid w:val="007F4680"/>
    <w:rsid w:val="007F7CD2"/>
    <w:rsid w:val="0080096B"/>
    <w:rsid w:val="00810C5C"/>
    <w:rsid w:val="008147AD"/>
    <w:rsid w:val="00816E0B"/>
    <w:rsid w:val="00824203"/>
    <w:rsid w:val="0083760F"/>
    <w:rsid w:val="008435D8"/>
    <w:rsid w:val="00860C5C"/>
    <w:rsid w:val="00864AC1"/>
    <w:rsid w:val="008745BD"/>
    <w:rsid w:val="008808F8"/>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9F1377"/>
    <w:rsid w:val="01D65AC4"/>
    <w:rsid w:val="020F7B7E"/>
    <w:rsid w:val="023C63A0"/>
    <w:rsid w:val="02A26AC8"/>
    <w:rsid w:val="02A824AD"/>
    <w:rsid w:val="02AD1871"/>
    <w:rsid w:val="02F5745D"/>
    <w:rsid w:val="0372620B"/>
    <w:rsid w:val="04021749"/>
    <w:rsid w:val="041A1188"/>
    <w:rsid w:val="05063EE9"/>
    <w:rsid w:val="053718C6"/>
    <w:rsid w:val="064436C8"/>
    <w:rsid w:val="06985039"/>
    <w:rsid w:val="06DD6751"/>
    <w:rsid w:val="07317410"/>
    <w:rsid w:val="0736405C"/>
    <w:rsid w:val="073F7B8A"/>
    <w:rsid w:val="074331BE"/>
    <w:rsid w:val="07516F96"/>
    <w:rsid w:val="080C0DE8"/>
    <w:rsid w:val="095D32ED"/>
    <w:rsid w:val="097F55EA"/>
    <w:rsid w:val="098C7AFA"/>
    <w:rsid w:val="099D2CB0"/>
    <w:rsid w:val="09EC7123"/>
    <w:rsid w:val="0A010578"/>
    <w:rsid w:val="0A204A5D"/>
    <w:rsid w:val="0B313A17"/>
    <w:rsid w:val="0B460A68"/>
    <w:rsid w:val="0B5F5F36"/>
    <w:rsid w:val="0BE53C10"/>
    <w:rsid w:val="0D0C1474"/>
    <w:rsid w:val="0D112137"/>
    <w:rsid w:val="0D212DEA"/>
    <w:rsid w:val="0D3F09CA"/>
    <w:rsid w:val="0DB51DAB"/>
    <w:rsid w:val="0DEC0AE2"/>
    <w:rsid w:val="0E9E69CA"/>
    <w:rsid w:val="0EA1705A"/>
    <w:rsid w:val="0EBB3568"/>
    <w:rsid w:val="0EF965D3"/>
    <w:rsid w:val="104E545C"/>
    <w:rsid w:val="10CB0F1B"/>
    <w:rsid w:val="11550AB7"/>
    <w:rsid w:val="115806FA"/>
    <w:rsid w:val="116F23E8"/>
    <w:rsid w:val="117E09BE"/>
    <w:rsid w:val="11A007F3"/>
    <w:rsid w:val="11F03E08"/>
    <w:rsid w:val="122E5DFF"/>
    <w:rsid w:val="124949E7"/>
    <w:rsid w:val="128917A0"/>
    <w:rsid w:val="130F5C30"/>
    <w:rsid w:val="13533D6F"/>
    <w:rsid w:val="13ED1A3D"/>
    <w:rsid w:val="14143F98"/>
    <w:rsid w:val="143860A5"/>
    <w:rsid w:val="14565BE9"/>
    <w:rsid w:val="146A326E"/>
    <w:rsid w:val="149823B2"/>
    <w:rsid w:val="14B66F07"/>
    <w:rsid w:val="14C5317E"/>
    <w:rsid w:val="14F859BF"/>
    <w:rsid w:val="15286307"/>
    <w:rsid w:val="15A00DC2"/>
    <w:rsid w:val="16201F02"/>
    <w:rsid w:val="164D1933"/>
    <w:rsid w:val="16C805D0"/>
    <w:rsid w:val="16D72F09"/>
    <w:rsid w:val="16F811DF"/>
    <w:rsid w:val="16FB0935"/>
    <w:rsid w:val="17125942"/>
    <w:rsid w:val="174C3A8E"/>
    <w:rsid w:val="17711459"/>
    <w:rsid w:val="17BB3CFC"/>
    <w:rsid w:val="183643BE"/>
    <w:rsid w:val="1843450C"/>
    <w:rsid w:val="18736C61"/>
    <w:rsid w:val="18E461B2"/>
    <w:rsid w:val="198B1AD4"/>
    <w:rsid w:val="1A230ABD"/>
    <w:rsid w:val="1B0167A6"/>
    <w:rsid w:val="1B1F25C5"/>
    <w:rsid w:val="1BC550A1"/>
    <w:rsid w:val="1C281BFF"/>
    <w:rsid w:val="1C62271C"/>
    <w:rsid w:val="1CFC037B"/>
    <w:rsid w:val="1D2351D3"/>
    <w:rsid w:val="1D2A56E8"/>
    <w:rsid w:val="1DAF24EA"/>
    <w:rsid w:val="1DE40BB0"/>
    <w:rsid w:val="1DE83057"/>
    <w:rsid w:val="1E1C18CC"/>
    <w:rsid w:val="1E63121F"/>
    <w:rsid w:val="1F1D69EF"/>
    <w:rsid w:val="20191F97"/>
    <w:rsid w:val="204750FD"/>
    <w:rsid w:val="20B61DE1"/>
    <w:rsid w:val="21162880"/>
    <w:rsid w:val="21DE344B"/>
    <w:rsid w:val="21F318C7"/>
    <w:rsid w:val="220458BF"/>
    <w:rsid w:val="22A7378F"/>
    <w:rsid w:val="22B578FD"/>
    <w:rsid w:val="22C57779"/>
    <w:rsid w:val="22D078AB"/>
    <w:rsid w:val="22D700DE"/>
    <w:rsid w:val="23441E09"/>
    <w:rsid w:val="23F06DDE"/>
    <w:rsid w:val="2434206F"/>
    <w:rsid w:val="25AD5421"/>
    <w:rsid w:val="263B1E7B"/>
    <w:rsid w:val="267D7CB3"/>
    <w:rsid w:val="26B80661"/>
    <w:rsid w:val="27214DB6"/>
    <w:rsid w:val="27565784"/>
    <w:rsid w:val="277A1305"/>
    <w:rsid w:val="278A3680"/>
    <w:rsid w:val="278D3BAC"/>
    <w:rsid w:val="27C64CB5"/>
    <w:rsid w:val="28904CC6"/>
    <w:rsid w:val="28E87487"/>
    <w:rsid w:val="29521CEB"/>
    <w:rsid w:val="29745A9F"/>
    <w:rsid w:val="297B511D"/>
    <w:rsid w:val="29BF6B0B"/>
    <w:rsid w:val="29C504FC"/>
    <w:rsid w:val="29EE77FA"/>
    <w:rsid w:val="2A0C65CE"/>
    <w:rsid w:val="2A0F5990"/>
    <w:rsid w:val="2A120B13"/>
    <w:rsid w:val="2AA131BA"/>
    <w:rsid w:val="2AEB07F7"/>
    <w:rsid w:val="2B0E006B"/>
    <w:rsid w:val="2B6B7461"/>
    <w:rsid w:val="2D053ED4"/>
    <w:rsid w:val="2D0B6D0D"/>
    <w:rsid w:val="2D1B54A6"/>
    <w:rsid w:val="2DDB4C35"/>
    <w:rsid w:val="2EE85B84"/>
    <w:rsid w:val="2EEE547C"/>
    <w:rsid w:val="2F575E37"/>
    <w:rsid w:val="2F997048"/>
    <w:rsid w:val="2FB02F01"/>
    <w:rsid w:val="30346A14"/>
    <w:rsid w:val="30991CC7"/>
    <w:rsid w:val="30A45AD9"/>
    <w:rsid w:val="31AF3F03"/>
    <w:rsid w:val="31EA5447"/>
    <w:rsid w:val="32435753"/>
    <w:rsid w:val="3284631A"/>
    <w:rsid w:val="32985440"/>
    <w:rsid w:val="32D305D1"/>
    <w:rsid w:val="32DA55F0"/>
    <w:rsid w:val="33420894"/>
    <w:rsid w:val="336D071C"/>
    <w:rsid w:val="339C103A"/>
    <w:rsid w:val="342F3A72"/>
    <w:rsid w:val="34710344"/>
    <w:rsid w:val="348C17DC"/>
    <w:rsid w:val="357A2F85"/>
    <w:rsid w:val="358856A2"/>
    <w:rsid w:val="35B16527"/>
    <w:rsid w:val="35DC02B1"/>
    <w:rsid w:val="364A6DFC"/>
    <w:rsid w:val="36C645B7"/>
    <w:rsid w:val="36EC5FB1"/>
    <w:rsid w:val="37283C9F"/>
    <w:rsid w:val="377A733E"/>
    <w:rsid w:val="37814F08"/>
    <w:rsid w:val="380D6333"/>
    <w:rsid w:val="381F62A0"/>
    <w:rsid w:val="38590B6C"/>
    <w:rsid w:val="389C366B"/>
    <w:rsid w:val="38DD575A"/>
    <w:rsid w:val="39072D1B"/>
    <w:rsid w:val="3969127A"/>
    <w:rsid w:val="3986014B"/>
    <w:rsid w:val="39F01A68"/>
    <w:rsid w:val="3C874EDB"/>
    <w:rsid w:val="3CD70CBD"/>
    <w:rsid w:val="3D007123"/>
    <w:rsid w:val="3DAB2EE2"/>
    <w:rsid w:val="3DD73903"/>
    <w:rsid w:val="3F2B67B3"/>
    <w:rsid w:val="3FF32979"/>
    <w:rsid w:val="403C57B3"/>
    <w:rsid w:val="40713EB3"/>
    <w:rsid w:val="40743897"/>
    <w:rsid w:val="40B05AAD"/>
    <w:rsid w:val="40D92E1F"/>
    <w:rsid w:val="41B11ADD"/>
    <w:rsid w:val="41D35EF7"/>
    <w:rsid w:val="423B584A"/>
    <w:rsid w:val="430F11B1"/>
    <w:rsid w:val="43413CD0"/>
    <w:rsid w:val="439711A6"/>
    <w:rsid w:val="43C37F59"/>
    <w:rsid w:val="43D75451"/>
    <w:rsid w:val="43F81C45"/>
    <w:rsid w:val="44900788"/>
    <w:rsid w:val="4498417F"/>
    <w:rsid w:val="44D3620E"/>
    <w:rsid w:val="44DE52DF"/>
    <w:rsid w:val="44F55F2E"/>
    <w:rsid w:val="457C4AF8"/>
    <w:rsid w:val="462D2AFF"/>
    <w:rsid w:val="464473C4"/>
    <w:rsid w:val="46AC4F69"/>
    <w:rsid w:val="46EB2B66"/>
    <w:rsid w:val="46ED5A14"/>
    <w:rsid w:val="470C53AE"/>
    <w:rsid w:val="472D6E53"/>
    <w:rsid w:val="474156B1"/>
    <w:rsid w:val="4763003C"/>
    <w:rsid w:val="47685E05"/>
    <w:rsid w:val="48967468"/>
    <w:rsid w:val="48E842FF"/>
    <w:rsid w:val="49156DF5"/>
    <w:rsid w:val="493C6A78"/>
    <w:rsid w:val="49441A41"/>
    <w:rsid w:val="4A510301"/>
    <w:rsid w:val="4A6D602B"/>
    <w:rsid w:val="4A9D2C7D"/>
    <w:rsid w:val="4AAA63A9"/>
    <w:rsid w:val="4AAD1530"/>
    <w:rsid w:val="4ACB711A"/>
    <w:rsid w:val="4AF229B2"/>
    <w:rsid w:val="4B106837"/>
    <w:rsid w:val="4B1A06F3"/>
    <w:rsid w:val="4B2D570C"/>
    <w:rsid w:val="4B4C4394"/>
    <w:rsid w:val="4B942912"/>
    <w:rsid w:val="4BB84D48"/>
    <w:rsid w:val="4C113CC0"/>
    <w:rsid w:val="4C73767A"/>
    <w:rsid w:val="4C96395A"/>
    <w:rsid w:val="4D07739D"/>
    <w:rsid w:val="4D7F33D7"/>
    <w:rsid w:val="4DCD139D"/>
    <w:rsid w:val="4DF62510"/>
    <w:rsid w:val="4E1E2166"/>
    <w:rsid w:val="4E277CA8"/>
    <w:rsid w:val="4E452F50"/>
    <w:rsid w:val="4E824F2D"/>
    <w:rsid w:val="4F1D1BBE"/>
    <w:rsid w:val="501E0C85"/>
    <w:rsid w:val="50395ABF"/>
    <w:rsid w:val="505A5A36"/>
    <w:rsid w:val="506762F6"/>
    <w:rsid w:val="50A46A8A"/>
    <w:rsid w:val="50E017C1"/>
    <w:rsid w:val="50E0273C"/>
    <w:rsid w:val="51644FBE"/>
    <w:rsid w:val="52316BBD"/>
    <w:rsid w:val="52475395"/>
    <w:rsid w:val="528079D5"/>
    <w:rsid w:val="528F7C18"/>
    <w:rsid w:val="52D65D91"/>
    <w:rsid w:val="538452A3"/>
    <w:rsid w:val="53A276CC"/>
    <w:rsid w:val="53B34CEC"/>
    <w:rsid w:val="53EE7631"/>
    <w:rsid w:val="540473E0"/>
    <w:rsid w:val="54202A29"/>
    <w:rsid w:val="54853CAF"/>
    <w:rsid w:val="54B74F7C"/>
    <w:rsid w:val="54D9568B"/>
    <w:rsid w:val="551C3D96"/>
    <w:rsid w:val="552F3B66"/>
    <w:rsid w:val="5536145D"/>
    <w:rsid w:val="55D50038"/>
    <w:rsid w:val="56085F32"/>
    <w:rsid w:val="56E542AB"/>
    <w:rsid w:val="56ED3DC1"/>
    <w:rsid w:val="573D318F"/>
    <w:rsid w:val="57660723"/>
    <w:rsid w:val="578876A8"/>
    <w:rsid w:val="59945B14"/>
    <w:rsid w:val="59A85123"/>
    <w:rsid w:val="59BE7AFA"/>
    <w:rsid w:val="5ADD1038"/>
    <w:rsid w:val="5B14624C"/>
    <w:rsid w:val="5B723495"/>
    <w:rsid w:val="5BAC2335"/>
    <w:rsid w:val="5D001B3A"/>
    <w:rsid w:val="5D135140"/>
    <w:rsid w:val="5D2418A5"/>
    <w:rsid w:val="5D3D3753"/>
    <w:rsid w:val="5E086952"/>
    <w:rsid w:val="5E2C6C63"/>
    <w:rsid w:val="5E351360"/>
    <w:rsid w:val="5E407D02"/>
    <w:rsid w:val="5EAB5261"/>
    <w:rsid w:val="5EB24BEC"/>
    <w:rsid w:val="5ED602A4"/>
    <w:rsid w:val="5EDC5A30"/>
    <w:rsid w:val="5F3833E6"/>
    <w:rsid w:val="5F7679C4"/>
    <w:rsid w:val="5F7E1B3E"/>
    <w:rsid w:val="5F8731AA"/>
    <w:rsid w:val="608512AA"/>
    <w:rsid w:val="60A800F7"/>
    <w:rsid w:val="60AA5E68"/>
    <w:rsid w:val="60BD5F46"/>
    <w:rsid w:val="61303617"/>
    <w:rsid w:val="61381005"/>
    <w:rsid w:val="61414E9A"/>
    <w:rsid w:val="61857110"/>
    <w:rsid w:val="62742987"/>
    <w:rsid w:val="62A05915"/>
    <w:rsid w:val="62A41BB4"/>
    <w:rsid w:val="62AB5051"/>
    <w:rsid w:val="62BD348D"/>
    <w:rsid w:val="62CA27A3"/>
    <w:rsid w:val="62E717D1"/>
    <w:rsid w:val="633705EE"/>
    <w:rsid w:val="638B4DDF"/>
    <w:rsid w:val="641F0715"/>
    <w:rsid w:val="64490695"/>
    <w:rsid w:val="6462452B"/>
    <w:rsid w:val="64686F03"/>
    <w:rsid w:val="646F6AC3"/>
    <w:rsid w:val="64B81251"/>
    <w:rsid w:val="65605C5F"/>
    <w:rsid w:val="65F22A75"/>
    <w:rsid w:val="661F1431"/>
    <w:rsid w:val="66406984"/>
    <w:rsid w:val="667062F3"/>
    <w:rsid w:val="667C1E0A"/>
    <w:rsid w:val="67F53CE1"/>
    <w:rsid w:val="68287D17"/>
    <w:rsid w:val="68511835"/>
    <w:rsid w:val="689C69F1"/>
    <w:rsid w:val="691C78D4"/>
    <w:rsid w:val="69791297"/>
    <w:rsid w:val="69D92DC0"/>
    <w:rsid w:val="6A106C14"/>
    <w:rsid w:val="6A1C3C53"/>
    <w:rsid w:val="6A1F767C"/>
    <w:rsid w:val="6ADE65E0"/>
    <w:rsid w:val="6AF71B23"/>
    <w:rsid w:val="6B3233DF"/>
    <w:rsid w:val="6B62453E"/>
    <w:rsid w:val="6B9F3035"/>
    <w:rsid w:val="6C007DF8"/>
    <w:rsid w:val="6C707656"/>
    <w:rsid w:val="6CB542C8"/>
    <w:rsid w:val="6DE67BDD"/>
    <w:rsid w:val="6E071855"/>
    <w:rsid w:val="702B6B2B"/>
    <w:rsid w:val="70D0428E"/>
    <w:rsid w:val="70E70ADA"/>
    <w:rsid w:val="71AB5C99"/>
    <w:rsid w:val="7265643D"/>
    <w:rsid w:val="72D444F2"/>
    <w:rsid w:val="73634A7D"/>
    <w:rsid w:val="737F18E2"/>
    <w:rsid w:val="738F35CB"/>
    <w:rsid w:val="739369E5"/>
    <w:rsid w:val="745D75EB"/>
    <w:rsid w:val="746D5465"/>
    <w:rsid w:val="747E1443"/>
    <w:rsid w:val="74D80B53"/>
    <w:rsid w:val="74EC45FF"/>
    <w:rsid w:val="75110DA7"/>
    <w:rsid w:val="75CA2B92"/>
    <w:rsid w:val="75D44E5F"/>
    <w:rsid w:val="76037437"/>
    <w:rsid w:val="762A1FEB"/>
    <w:rsid w:val="76655B13"/>
    <w:rsid w:val="77C06F53"/>
    <w:rsid w:val="77DD2CB6"/>
    <w:rsid w:val="782567A5"/>
    <w:rsid w:val="78671595"/>
    <w:rsid w:val="78EA2879"/>
    <w:rsid w:val="78F80E84"/>
    <w:rsid w:val="79915775"/>
    <w:rsid w:val="79A05249"/>
    <w:rsid w:val="7B445194"/>
    <w:rsid w:val="7B89570D"/>
    <w:rsid w:val="7BA55518"/>
    <w:rsid w:val="7C01687E"/>
    <w:rsid w:val="7C0D4D3D"/>
    <w:rsid w:val="7C846875"/>
    <w:rsid w:val="7C9106EB"/>
    <w:rsid w:val="7CE42605"/>
    <w:rsid w:val="7D324680"/>
    <w:rsid w:val="7D562123"/>
    <w:rsid w:val="7D5C52B8"/>
    <w:rsid w:val="7E1536A4"/>
    <w:rsid w:val="7E2D63B4"/>
    <w:rsid w:val="7E4313B6"/>
    <w:rsid w:val="7ED92098"/>
    <w:rsid w:val="7F17496E"/>
    <w:rsid w:val="7F5C68C8"/>
    <w:rsid w:val="7F8158D8"/>
    <w:rsid w:val="7F8E16E6"/>
    <w:rsid w:val="7FA04963"/>
    <w:rsid w:val="7FCE14D1"/>
    <w:rsid w:val="7FEF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4"/>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29"/>
    <w:qFormat/>
    <w:uiPriority w:val="99"/>
    <w:rPr>
      <w:rFonts w:ascii="宋体" w:hAnsi="宋体" w:cs="宋体"/>
      <w:sz w:val="28"/>
      <w:szCs w:val="28"/>
    </w:rPr>
  </w:style>
  <w:style w:type="paragraph" w:styleId="9">
    <w:name w:val="Body Text Indent"/>
    <w:basedOn w:val="1"/>
    <w:link w:val="32"/>
    <w:qFormat/>
    <w:uiPriority w:val="99"/>
    <w:pPr>
      <w:spacing w:after="120"/>
      <w:ind w:left="420" w:leftChars="200"/>
    </w:pPr>
  </w:style>
  <w:style w:type="paragraph" w:styleId="10">
    <w:name w:val="Date"/>
    <w:basedOn w:val="1"/>
    <w:next w:val="1"/>
    <w:link w:val="33"/>
    <w:qFormat/>
    <w:uiPriority w:val="99"/>
    <w:pPr>
      <w:ind w:left="100" w:leftChars="2500"/>
    </w:pPr>
  </w:style>
  <w:style w:type="paragraph" w:styleId="11">
    <w:name w:val="Body Text Indent 2"/>
    <w:basedOn w:val="1"/>
    <w:link w:val="28"/>
    <w:qFormat/>
    <w:uiPriority w:val="99"/>
    <w:pPr>
      <w:spacing w:after="120" w:line="480" w:lineRule="auto"/>
      <w:ind w:left="420" w:leftChars="200"/>
    </w:pPr>
  </w:style>
  <w:style w:type="paragraph" w:styleId="12">
    <w:name w:val="Balloon Text"/>
    <w:basedOn w:val="1"/>
    <w:link w:val="25"/>
    <w:qFormat/>
    <w:uiPriority w:val="99"/>
    <w:rPr>
      <w:sz w:val="18"/>
      <w:szCs w:val="18"/>
    </w:rPr>
  </w:style>
  <w:style w:type="paragraph" w:styleId="13">
    <w:name w:val="footer"/>
    <w:basedOn w:val="1"/>
    <w:link w:val="22"/>
    <w:qFormat/>
    <w:uiPriority w:val="99"/>
    <w:pPr>
      <w:tabs>
        <w:tab w:val="center" w:pos="4153"/>
        <w:tab w:val="right" w:pos="8306"/>
      </w:tabs>
      <w:snapToGrid w:val="0"/>
      <w:jc w:val="left"/>
    </w:pPr>
    <w:rPr>
      <w:sz w:val="18"/>
      <w:szCs w:val="18"/>
    </w:rPr>
  </w:style>
  <w:style w:type="paragraph" w:styleId="14">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9"/>
    <w:unhideWhenUsed/>
    <w:qFormat/>
    <w:uiPriority w:val="99"/>
    <w:pPr>
      <w:ind w:firstLine="420" w:firstLineChars="200"/>
    </w:pPr>
  </w:style>
  <w:style w:type="table" w:styleId="18">
    <w:name w:val="Table Grid"/>
    <w:basedOn w:val="1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style>
  <w:style w:type="character" w:customStyle="1" w:styleId="21">
    <w:name w:val="页眉 Char"/>
    <w:basedOn w:val="19"/>
    <w:link w:val="14"/>
    <w:qFormat/>
    <w:uiPriority w:val="99"/>
    <w:rPr>
      <w:sz w:val="18"/>
      <w:szCs w:val="18"/>
    </w:rPr>
  </w:style>
  <w:style w:type="character" w:customStyle="1" w:styleId="22">
    <w:name w:val="页脚 Char"/>
    <w:basedOn w:val="19"/>
    <w:link w:val="13"/>
    <w:qFormat/>
    <w:uiPriority w:val="99"/>
    <w:rPr>
      <w:sz w:val="18"/>
      <w:szCs w:val="18"/>
    </w:rPr>
  </w:style>
  <w:style w:type="character" w:customStyle="1" w:styleId="23">
    <w:name w:val="标题 2 Char"/>
    <w:basedOn w:val="19"/>
    <w:link w:val="4"/>
    <w:qFormat/>
    <w:uiPriority w:val="99"/>
    <w:rPr>
      <w:rFonts w:ascii="Cambria" w:hAnsi="Cambria" w:eastAsia="宋体" w:cs="Cambria"/>
      <w:b/>
      <w:bCs/>
      <w:sz w:val="32"/>
      <w:szCs w:val="32"/>
    </w:rPr>
  </w:style>
  <w:style w:type="character" w:customStyle="1" w:styleId="24">
    <w:name w:val="标题 3 Char"/>
    <w:basedOn w:val="19"/>
    <w:link w:val="5"/>
    <w:qFormat/>
    <w:uiPriority w:val="99"/>
    <w:rPr>
      <w:rFonts w:ascii="Times New Roman" w:hAnsi="Times New Roman" w:eastAsia="宋体" w:cs="Times New Roman"/>
      <w:b/>
      <w:bCs/>
      <w:sz w:val="32"/>
      <w:szCs w:val="32"/>
    </w:rPr>
  </w:style>
  <w:style w:type="character" w:customStyle="1" w:styleId="25">
    <w:name w:val="批注框文本 Char"/>
    <w:basedOn w:val="19"/>
    <w:link w:val="12"/>
    <w:qFormat/>
    <w:uiPriority w:val="99"/>
    <w:rPr>
      <w:rFonts w:ascii="Times New Roman" w:hAnsi="Times New Roman" w:eastAsia="宋体" w:cs="Times New Roman"/>
      <w:sz w:val="18"/>
      <w:szCs w:val="18"/>
    </w:rPr>
  </w:style>
  <w:style w:type="paragraph" w:customStyle="1" w:styleId="26">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7">
    <w:name w:val="附件标题-1"/>
    <w:basedOn w:val="1"/>
    <w:qFormat/>
    <w:uiPriority w:val="99"/>
    <w:pPr>
      <w:spacing w:beforeLines="50" w:afterLines="50"/>
      <w:jc w:val="center"/>
    </w:pPr>
    <w:rPr>
      <w:rFonts w:eastAsia="黑体"/>
      <w:sz w:val="32"/>
      <w:szCs w:val="32"/>
    </w:rPr>
  </w:style>
  <w:style w:type="character" w:customStyle="1" w:styleId="28">
    <w:name w:val="正文文本缩进 2 Char"/>
    <w:basedOn w:val="19"/>
    <w:link w:val="11"/>
    <w:qFormat/>
    <w:uiPriority w:val="99"/>
    <w:rPr>
      <w:rFonts w:ascii="Times New Roman" w:hAnsi="Times New Roman" w:eastAsia="宋体" w:cs="Times New Roman"/>
      <w:szCs w:val="21"/>
    </w:rPr>
  </w:style>
  <w:style w:type="character" w:customStyle="1" w:styleId="29">
    <w:name w:val="正文文本 Char"/>
    <w:basedOn w:val="19"/>
    <w:link w:val="8"/>
    <w:qFormat/>
    <w:uiPriority w:val="99"/>
    <w:rPr>
      <w:rFonts w:ascii="宋体" w:hAnsi="宋体" w:eastAsia="宋体" w:cs="宋体"/>
      <w:sz w:val="28"/>
      <w:szCs w:val="28"/>
    </w:rPr>
  </w:style>
  <w:style w:type="paragraph" w:customStyle="1" w:styleId="3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CM1"/>
    <w:basedOn w:val="30"/>
    <w:next w:val="30"/>
    <w:qFormat/>
    <w:uiPriority w:val="99"/>
    <w:rPr>
      <w:color w:val="auto"/>
    </w:rPr>
  </w:style>
  <w:style w:type="character" w:customStyle="1" w:styleId="32">
    <w:name w:val="正文文本缩进 Char"/>
    <w:basedOn w:val="19"/>
    <w:link w:val="9"/>
    <w:qFormat/>
    <w:uiPriority w:val="99"/>
    <w:rPr>
      <w:rFonts w:ascii="Times New Roman" w:hAnsi="Times New Roman" w:eastAsia="宋体" w:cs="Times New Roman"/>
      <w:szCs w:val="21"/>
    </w:rPr>
  </w:style>
  <w:style w:type="character" w:customStyle="1" w:styleId="33">
    <w:name w:val="日期 Char"/>
    <w:basedOn w:val="19"/>
    <w:link w:val="10"/>
    <w:qFormat/>
    <w:uiPriority w:val="99"/>
    <w:rPr>
      <w:rFonts w:ascii="Times New Roman" w:hAnsi="Times New Roman" w:eastAsia="宋体" w:cs="Times New Roman"/>
      <w:szCs w:val="21"/>
    </w:rPr>
  </w:style>
  <w:style w:type="paragraph" w:styleId="34">
    <w:name w:val="List Paragraph"/>
    <w:basedOn w:val="1"/>
    <w:link w:val="37"/>
    <w:qFormat/>
    <w:uiPriority w:val="34"/>
    <w:pPr>
      <w:ind w:firstLine="420" w:firstLineChars="200"/>
    </w:pPr>
    <w:rPr>
      <w:szCs w:val="24"/>
    </w:rPr>
  </w:style>
  <w:style w:type="paragraph" w:customStyle="1" w:styleId="3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6">
    <w:name w:val="图例"/>
    <w:basedOn w:val="1"/>
    <w:qFormat/>
    <w:uiPriority w:val="99"/>
    <w:pPr>
      <w:spacing w:before="120" w:after="120" w:line="360" w:lineRule="auto"/>
      <w:jc w:val="center"/>
    </w:pPr>
    <w:rPr>
      <w:rFonts w:eastAsia="仿宋_GB2312"/>
      <w:b/>
      <w:sz w:val="24"/>
      <w:szCs w:val="20"/>
    </w:rPr>
  </w:style>
  <w:style w:type="character" w:customStyle="1" w:styleId="37">
    <w:name w:val="列出段落 Char"/>
    <w:link w:val="34"/>
    <w:qFormat/>
    <w:uiPriority w:val="34"/>
    <w:rPr>
      <w:kern w:val="2"/>
      <w:sz w:val="21"/>
      <w:szCs w:val="24"/>
    </w:rPr>
  </w:style>
  <w:style w:type="character" w:customStyle="1" w:styleId="38">
    <w:name w:val="标题 1 Char"/>
    <w:basedOn w:val="19"/>
    <w:link w:val="3"/>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5654</Words>
  <Characters>5888</Characters>
  <Lines>102</Lines>
  <Paragraphs>28</Paragraphs>
  <TotalTime>13</TotalTime>
  <ScaleCrop>false</ScaleCrop>
  <LinksUpToDate>false</LinksUpToDate>
  <CharactersWithSpaces>6734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Administrator</cp:lastModifiedBy>
  <cp:lastPrinted>2024-01-22T02:34:00Z</cp:lastPrinted>
  <dcterms:modified xsi:type="dcterms:W3CDTF">2024-03-04T07:29:59Z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B601160691D04FA2953D61773893CAEB</vt:lpwstr>
  </property>
  <property fmtid="{D5CDD505-2E9C-101B-9397-08002B2CF9AE}" pid="3" name="KSOProductBuildVer">
    <vt:lpwstr>2052-11.8.2.12195</vt:lpwstr>
  </property>
</Properties>
</file>